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533CF" w14:textId="77777777" w:rsidR="0086481D" w:rsidRDefault="0086481D" w:rsidP="0086481D"/>
    <w:p w14:paraId="417FD7BE" w14:textId="77777777" w:rsidR="00F90D1B" w:rsidRDefault="00F90D1B" w:rsidP="0086481D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3601472B" w14:textId="4C49208F" w:rsidR="0086481D" w:rsidRPr="00633776" w:rsidRDefault="0086481D" w:rsidP="0086481D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633776">
        <w:rPr>
          <w:rStyle w:val="style18"/>
          <w:rFonts w:ascii="Amaranth" w:hAnsi="Amaranth"/>
          <w:color w:val="C00000"/>
          <w:sz w:val="28"/>
          <w:szCs w:val="28"/>
        </w:rPr>
        <w:t>6.5.1 - Internal Quality Assurance Cell (IQAC)</w:t>
      </w:r>
      <w:r w:rsidR="00F90D1B">
        <w:rPr>
          <w:rStyle w:val="style18"/>
          <w:rFonts w:ascii="Amaranth" w:hAnsi="Amaranth"/>
          <w:color w:val="C00000"/>
          <w:sz w:val="28"/>
          <w:szCs w:val="28"/>
        </w:rPr>
        <w:t xml:space="preserve"> - </w:t>
      </w:r>
      <w:r w:rsidRPr="00633776">
        <w:rPr>
          <w:rStyle w:val="style18"/>
          <w:rFonts w:ascii="Amaranth" w:hAnsi="Amaranth"/>
          <w:color w:val="C00000"/>
          <w:sz w:val="28"/>
          <w:szCs w:val="28"/>
        </w:rPr>
        <w:t xml:space="preserve">Incremental improvements made during the preceding year with regard to quality and post-accreditation quality initiatives </w:t>
      </w:r>
    </w:p>
    <w:p w14:paraId="6A141496" w14:textId="77777777" w:rsidR="0086481D" w:rsidRPr="00BE3893" w:rsidRDefault="0086481D" w:rsidP="0086481D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7AAADF95" w14:textId="77777777" w:rsidR="0086481D" w:rsidRPr="00C37CA0" w:rsidRDefault="0086481D" w:rsidP="0086481D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86481D" w:rsidRPr="002C79C8" w14:paraId="7C5E6468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085055E9" w14:textId="77777777" w:rsidR="0086481D" w:rsidRPr="002C79C8" w:rsidRDefault="0086481D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0CFC8C03" w14:textId="77777777" w:rsidR="0086481D" w:rsidRPr="002C79C8" w:rsidRDefault="0086481D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4F9403B0" w14:textId="77777777" w:rsidR="0086481D" w:rsidRPr="002C79C8" w:rsidRDefault="0086481D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86481D" w:rsidRPr="002C79C8" w14:paraId="08D0BCD8" w14:textId="77777777" w:rsidTr="00EB01F2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3ED215" w14:textId="77777777" w:rsidR="0086481D" w:rsidRPr="001C78EB" w:rsidRDefault="0086481D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0E437A" w14:textId="77777777" w:rsidR="0086481D" w:rsidRPr="008F4574" w:rsidRDefault="0086481D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63377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IQAC - </w:t>
            </w:r>
            <w:proofErr w:type="spellStart"/>
            <w:r w:rsidRPr="0063377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Programmes</w:t>
            </w:r>
            <w:proofErr w:type="spellEnd"/>
            <w:r w:rsidRPr="0063377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organized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F5C9D" w14:textId="77777777" w:rsidR="0086481D" w:rsidRPr="002C79C8" w:rsidRDefault="0086481D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73D53B5C" wp14:editId="4E8BC690">
                  <wp:extent cx="525294" cy="548640"/>
                  <wp:effectExtent l="0" t="0" r="8255" b="3810"/>
                  <wp:docPr id="13" name="Picture 1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1D" w:rsidRPr="002C79C8" w14:paraId="56C5A8C2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95AB9" w14:textId="77777777" w:rsidR="0086481D" w:rsidRPr="001C78EB" w:rsidRDefault="0086481D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4A4425" w14:textId="7F17C920" w:rsidR="0086481D" w:rsidRPr="001C78EB" w:rsidRDefault="0086481D" w:rsidP="00F90D1B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63377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IQAC – MoUs &amp; </w:t>
            </w:r>
            <w:r w:rsidR="00F90D1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Consultancy Offered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53095" w14:textId="77777777" w:rsidR="0086481D" w:rsidRPr="002C79C8" w:rsidRDefault="0086481D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50F26C68" wp14:editId="634D588E">
                  <wp:extent cx="525294" cy="548640"/>
                  <wp:effectExtent l="0" t="0" r="8255" b="3810"/>
                  <wp:docPr id="3" name="Pictur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1D" w:rsidRPr="002C79C8" w14:paraId="2FB5132D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E7F224" w14:textId="77777777" w:rsidR="0086481D" w:rsidRPr="001C78EB" w:rsidRDefault="0086481D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3.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413CDA" w14:textId="77777777" w:rsidR="0086481D" w:rsidRPr="00BE3893" w:rsidRDefault="0086481D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633776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External Audit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C82EB8" w14:textId="77777777" w:rsidR="0086481D" w:rsidRDefault="0086481D" w:rsidP="00EB01F2">
            <w:pPr>
              <w:spacing w:before="60" w:after="60"/>
              <w:jc w:val="center"/>
              <w:rPr>
                <w:rFonts w:ascii="Amaranth" w:hAnsi="Amaranth"/>
                <w:noProof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4A84133C" wp14:editId="294B1C0D">
                  <wp:extent cx="525294" cy="548640"/>
                  <wp:effectExtent l="0" t="0" r="8255" b="3810"/>
                  <wp:docPr id="12" name="Picture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D6004" w14:textId="77777777" w:rsidR="0086481D" w:rsidRPr="002C79C8" w:rsidRDefault="0086481D" w:rsidP="0086481D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26495BE9" w14:textId="77777777" w:rsidR="0086481D" w:rsidRDefault="0086481D" w:rsidP="0086481D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6757C70B" w14:textId="77777777" w:rsidR="0086481D" w:rsidRDefault="0086481D" w:rsidP="0086481D"/>
    <w:p w14:paraId="2D7BE330" w14:textId="77777777" w:rsidR="0086481D" w:rsidRDefault="0086481D" w:rsidP="0086481D"/>
    <w:p w14:paraId="04C77B63" w14:textId="77777777" w:rsidR="0086481D" w:rsidRDefault="0086481D" w:rsidP="0086481D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785104A2" w14:textId="77777777" w:rsidR="00A07E15" w:rsidRDefault="00A07E15" w:rsidP="00DE14EA">
      <w:pPr>
        <w:spacing w:before="120"/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060818AB" w14:textId="77777777" w:rsidR="001B6DD7" w:rsidRPr="00A07E15" w:rsidRDefault="00A07E15" w:rsidP="00A07E15">
      <w:pPr>
        <w:tabs>
          <w:tab w:val="left" w:pos="6360"/>
        </w:tabs>
      </w:pPr>
      <w:bookmarkStart w:id="0" w:name="_GoBack"/>
      <w:bookmarkEnd w:id="0"/>
      <w:r>
        <w:tab/>
      </w:r>
    </w:p>
    <w:sectPr w:rsidR="001B6DD7" w:rsidRPr="00A07E15" w:rsidSect="00DE14EA">
      <w:headerReference w:type="default" r:id="rId13"/>
      <w:footerReference w:type="default" r:id="rId14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CF46" w14:textId="77777777" w:rsidR="00485895" w:rsidRDefault="00485895" w:rsidP="001B6DD7">
      <w:pPr>
        <w:spacing w:after="0" w:line="240" w:lineRule="auto"/>
      </w:pPr>
      <w:r>
        <w:separator/>
      </w:r>
    </w:p>
  </w:endnote>
  <w:endnote w:type="continuationSeparator" w:id="0">
    <w:p w14:paraId="29E3D7BB" w14:textId="77777777" w:rsidR="00485895" w:rsidRDefault="00485895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224E7" w14:textId="77777777" w:rsidR="00485895" w:rsidRDefault="00485895" w:rsidP="001B6DD7">
      <w:pPr>
        <w:spacing w:after="0" w:line="240" w:lineRule="auto"/>
      </w:pPr>
      <w:r>
        <w:separator/>
      </w:r>
    </w:p>
  </w:footnote>
  <w:footnote w:type="continuationSeparator" w:id="0">
    <w:p w14:paraId="75505AC1" w14:textId="77777777" w:rsidR="00485895" w:rsidRDefault="00485895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7586C20" w:rsidR="001B6DD7" w:rsidRPr="001B6DD7" w:rsidRDefault="0086481D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0985A6B0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5FDF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3F7806"/>
    <w:rsid w:val="00485895"/>
    <w:rsid w:val="00536B92"/>
    <w:rsid w:val="00605700"/>
    <w:rsid w:val="00701FE9"/>
    <w:rsid w:val="0086481D"/>
    <w:rsid w:val="00A07E15"/>
    <w:rsid w:val="00CB0F00"/>
    <w:rsid w:val="00CD77B1"/>
    <w:rsid w:val="00D65D1C"/>
    <w:rsid w:val="00DC3385"/>
    <w:rsid w:val="00DE14EA"/>
    <w:rsid w:val="00F9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86481D"/>
    <w:rPr>
      <w:b/>
      <w:bCs/>
    </w:rPr>
  </w:style>
  <w:style w:type="character" w:customStyle="1" w:styleId="style18">
    <w:name w:val="style18"/>
    <w:rsid w:val="0086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atimacollegemdu.org/AQAR/C-36529/2020-2021/C-6/6.5.1/6.5.1-SD1.pdf" TargetMode="External"/><Relationship Id="rId12" Type="http://schemas.openxmlformats.org/officeDocument/2006/relationships/hyperlink" Target="http://www.fatimacollegemdu.org/AQAR/C-36529/2020-2021/C-6/6.5.1/6.5.1-SD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6/6.5.1/6.5.1-SD1.pdf" TargetMode="External"/><Relationship Id="rId11" Type="http://schemas.openxmlformats.org/officeDocument/2006/relationships/hyperlink" Target="http://www.fatimacollegemdu.org/AQAR/C-36529/2022-2023/C-6/6.5.1/6.5.1-SD3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timacollegemdu.org/AQAR/C-36529/2020-2021/C-6/6.5.1/6.5.1-SD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timacollegemdu.org/AQAR/C-36529/2022-2023/C-6/6.5.1/6.5.1-SD2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dcterms:created xsi:type="dcterms:W3CDTF">2024-05-04T15:05:00Z</dcterms:created>
  <dcterms:modified xsi:type="dcterms:W3CDTF">2024-05-04T15:07:00Z</dcterms:modified>
</cp:coreProperties>
</file>