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D5C8B2" w14:textId="77777777" w:rsidR="00EC7797" w:rsidRDefault="00EC7797">
      <w:pPr>
        <w:widowControl w:val="0"/>
        <w:pBdr>
          <w:top w:val="nil"/>
          <w:left w:val="nil"/>
          <w:bottom w:val="nil"/>
          <w:right w:val="nil"/>
          <w:between w:val="nil"/>
        </w:pBdr>
        <w:spacing w:after="0"/>
      </w:pPr>
    </w:p>
    <w:p w14:paraId="21810A64" w14:textId="77777777" w:rsidR="00EC7797" w:rsidRDefault="00000000">
      <w:pPr>
        <w:tabs>
          <w:tab w:val="left" w:pos="567"/>
        </w:tabs>
        <w:spacing w:before="240" w:after="240" w:line="360" w:lineRule="auto"/>
        <w:ind w:right="423"/>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6.4.1 The institution conducts internal and external financial audits regularly.                  </w:t>
      </w:r>
    </w:p>
    <w:p w14:paraId="6E785ADE" w14:textId="77777777" w:rsidR="00EC7797" w:rsidRDefault="00000000">
      <w:pPr>
        <w:tabs>
          <w:tab w:val="left" w:pos="567"/>
        </w:tabs>
        <w:spacing w:before="240" w:after="240" w:line="360" w:lineRule="auto"/>
        <w:ind w:right="423"/>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Response:</w:t>
      </w:r>
    </w:p>
    <w:p w14:paraId="1A42EDDD" w14:textId="77777777" w:rsidR="00EC7797" w:rsidRDefault="00000000">
      <w:pPr>
        <w:tabs>
          <w:tab w:val="left" w:pos="567"/>
        </w:tabs>
        <w:spacing w:before="240" w:after="240" w:line="360" w:lineRule="auto"/>
        <w:ind w:right="423"/>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b/>
        <w:t xml:space="preserve">Fatima College (Autonomous) Madurai is aided by the Government of Tamil Nadu and the University Grants Commission. </w:t>
      </w:r>
      <w:r>
        <w:rPr>
          <w:rFonts w:ascii="Bookman Old Style" w:eastAsia="Bookman Old Style" w:hAnsi="Bookman Old Style" w:cs="Bookman Old Style"/>
          <w:b/>
          <w:sz w:val="24"/>
          <w:szCs w:val="24"/>
        </w:rPr>
        <w:t xml:space="preserve">All income and expenditure is audited both internally and externally. </w:t>
      </w:r>
      <w:r>
        <w:rPr>
          <w:rFonts w:ascii="Bookman Old Style" w:eastAsia="Bookman Old Style" w:hAnsi="Bookman Old Style" w:cs="Bookman Old Style"/>
          <w:sz w:val="24"/>
          <w:szCs w:val="24"/>
        </w:rPr>
        <w:t xml:space="preserve">All financial transactions with the Government and its agencies are through </w:t>
      </w:r>
      <w:r>
        <w:rPr>
          <w:rFonts w:ascii="Bookman Old Style" w:eastAsia="Bookman Old Style" w:hAnsi="Bookman Old Style" w:cs="Bookman Old Style"/>
          <w:b/>
          <w:sz w:val="24"/>
          <w:szCs w:val="24"/>
        </w:rPr>
        <w:t>Public Fund Management System</w:t>
      </w:r>
      <w:r>
        <w:rPr>
          <w:rFonts w:ascii="Bookman Old Style" w:eastAsia="Bookman Old Style" w:hAnsi="Bookman Old Style" w:cs="Bookman Old Style"/>
          <w:sz w:val="24"/>
          <w:szCs w:val="24"/>
        </w:rPr>
        <w:t xml:space="preserve"> (PFMS).</w:t>
      </w:r>
    </w:p>
    <w:p w14:paraId="14ABEA77" w14:textId="77777777" w:rsidR="00EC7797" w:rsidRDefault="00000000">
      <w:pPr>
        <w:tabs>
          <w:tab w:val="left" w:pos="567"/>
        </w:tabs>
        <w:spacing w:before="240" w:after="240" w:line="360" w:lineRule="auto"/>
        <w:ind w:right="423"/>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Internal Audit</w:t>
      </w:r>
    </w:p>
    <w:p w14:paraId="224E8D08" w14:textId="77777777" w:rsidR="00EC7797" w:rsidRDefault="00000000">
      <w:pPr>
        <w:tabs>
          <w:tab w:val="left" w:pos="567"/>
        </w:tabs>
        <w:spacing w:before="240" w:after="240" w:line="360" w:lineRule="auto"/>
        <w:ind w:right="423"/>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The Office Manager and Principal scrutinize all matters related to receipts and disbursal of funds under various heads of income and expenditure.</w:t>
      </w:r>
    </w:p>
    <w:p w14:paraId="3A852F6B" w14:textId="77777777" w:rsidR="00EC7797" w:rsidRDefault="00000000">
      <w:pPr>
        <w:tabs>
          <w:tab w:val="left" w:pos="567"/>
        </w:tabs>
        <w:spacing w:before="240" w:after="240" w:line="360" w:lineRule="auto"/>
        <w:ind w:right="423"/>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All receipts, vouchers, utilization certificates are scrutinized by the Office Managers</w:t>
      </w:r>
    </w:p>
    <w:p w14:paraId="2278E89A" w14:textId="77777777" w:rsidR="00EC7797" w:rsidRDefault="00000000">
      <w:pPr>
        <w:numPr>
          <w:ilvl w:val="0"/>
          <w:numId w:val="1"/>
        </w:numPr>
        <w:pBdr>
          <w:top w:val="nil"/>
          <w:left w:val="nil"/>
          <w:bottom w:val="nil"/>
          <w:right w:val="nil"/>
          <w:between w:val="nil"/>
        </w:pBdr>
        <w:tabs>
          <w:tab w:val="left" w:pos="567"/>
        </w:tabs>
        <w:spacing w:before="240" w:after="240" w:line="360" w:lineRule="auto"/>
        <w:ind w:left="0" w:right="423" w:firstLine="0"/>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The income and expenditure statement of departments is scrutinized by the Office Managers. </w:t>
      </w:r>
    </w:p>
    <w:p w14:paraId="13800F6D" w14:textId="77777777" w:rsidR="00EC7797" w:rsidRDefault="00000000">
      <w:pPr>
        <w:tabs>
          <w:tab w:val="left" w:pos="567"/>
        </w:tabs>
        <w:spacing w:before="240" w:after="240" w:line="360" w:lineRule="auto"/>
        <w:ind w:right="423"/>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External Audit</w:t>
      </w:r>
    </w:p>
    <w:p w14:paraId="32DC73E8" w14:textId="77777777" w:rsidR="00EC7797" w:rsidRDefault="00000000">
      <w:pPr>
        <w:numPr>
          <w:ilvl w:val="0"/>
          <w:numId w:val="1"/>
        </w:numPr>
        <w:pBdr>
          <w:top w:val="nil"/>
          <w:left w:val="nil"/>
          <w:bottom w:val="nil"/>
          <w:right w:val="nil"/>
          <w:between w:val="nil"/>
        </w:pBdr>
        <w:tabs>
          <w:tab w:val="left" w:pos="567"/>
        </w:tabs>
        <w:spacing w:before="240" w:after="240" w:line="360" w:lineRule="auto"/>
        <w:ind w:left="0" w:right="423" w:firstLine="0"/>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The external audit is conducted by the </w:t>
      </w:r>
      <w:r>
        <w:rPr>
          <w:rFonts w:ascii="Bookman Old Style" w:eastAsia="Bookman Old Style" w:hAnsi="Bookman Old Style" w:cs="Bookman Old Style"/>
          <w:b/>
          <w:color w:val="000000"/>
          <w:sz w:val="24"/>
          <w:szCs w:val="24"/>
        </w:rPr>
        <w:t>RJDCE,</w:t>
      </w:r>
      <w:r>
        <w:rPr>
          <w:rFonts w:ascii="Bookman Old Style" w:eastAsia="Bookman Old Style" w:hAnsi="Bookman Old Style" w:cs="Bookman Old Style"/>
          <w:color w:val="000000"/>
          <w:sz w:val="24"/>
          <w:szCs w:val="24"/>
        </w:rPr>
        <w:t xml:space="preserve"> Madurai Region for the funds received from the government sources.  The financial statements are submitted to the RJDCE’s office, Madurai region. </w:t>
      </w:r>
    </w:p>
    <w:p w14:paraId="4E5764AC" w14:textId="4A9E579C" w:rsidR="00EC7797" w:rsidRDefault="00000000">
      <w:pPr>
        <w:numPr>
          <w:ilvl w:val="0"/>
          <w:numId w:val="1"/>
        </w:numPr>
        <w:pBdr>
          <w:top w:val="nil"/>
          <w:left w:val="nil"/>
          <w:bottom w:val="nil"/>
          <w:right w:val="nil"/>
          <w:between w:val="nil"/>
        </w:pBdr>
        <w:tabs>
          <w:tab w:val="left" w:pos="567"/>
        </w:tabs>
        <w:spacing w:before="240" w:after="240" w:line="360" w:lineRule="auto"/>
        <w:ind w:left="0" w:right="423" w:firstLine="0"/>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All the UGC accounts are audited by an external Chartered Accountant and the statement of accounts and utilization certificate are submitted to the respective funding agencies. The accounts have been audited till 31.03.202</w:t>
      </w:r>
      <w:r w:rsidR="004C7F30">
        <w:rPr>
          <w:rFonts w:ascii="Bookman Old Style" w:eastAsia="Bookman Old Style" w:hAnsi="Bookman Old Style" w:cs="Bookman Old Style"/>
          <w:color w:val="000000"/>
          <w:sz w:val="24"/>
          <w:szCs w:val="24"/>
        </w:rPr>
        <w:t>3</w:t>
      </w:r>
      <w:r>
        <w:rPr>
          <w:rFonts w:ascii="Bookman Old Style" w:eastAsia="Bookman Old Style" w:hAnsi="Bookman Old Style" w:cs="Bookman Old Style"/>
          <w:color w:val="000000"/>
          <w:sz w:val="24"/>
          <w:szCs w:val="24"/>
        </w:rPr>
        <w:t xml:space="preserve">. </w:t>
      </w:r>
    </w:p>
    <w:p w14:paraId="09BDE8B7" w14:textId="77777777" w:rsidR="00EC7797" w:rsidRDefault="00000000">
      <w:pPr>
        <w:numPr>
          <w:ilvl w:val="0"/>
          <w:numId w:val="1"/>
        </w:numPr>
        <w:pBdr>
          <w:top w:val="nil"/>
          <w:left w:val="nil"/>
          <w:bottom w:val="nil"/>
          <w:right w:val="nil"/>
          <w:between w:val="nil"/>
        </w:pBdr>
        <w:tabs>
          <w:tab w:val="left" w:pos="567"/>
        </w:tabs>
        <w:spacing w:before="240" w:after="240" w:line="360" w:lineRule="auto"/>
        <w:ind w:left="0" w:right="423" w:firstLine="0"/>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lastRenderedPageBreak/>
        <w:t>Queries on audit are promptly attended to and settled.</w:t>
      </w:r>
    </w:p>
    <w:p w14:paraId="559559DE" w14:textId="77777777" w:rsidR="00EC7797" w:rsidRDefault="00000000">
      <w:pPr>
        <w:numPr>
          <w:ilvl w:val="0"/>
          <w:numId w:val="1"/>
        </w:numPr>
        <w:pBdr>
          <w:top w:val="nil"/>
          <w:left w:val="nil"/>
          <w:bottom w:val="nil"/>
          <w:right w:val="nil"/>
          <w:between w:val="nil"/>
        </w:pBdr>
        <w:tabs>
          <w:tab w:val="left" w:pos="567"/>
        </w:tabs>
        <w:spacing w:before="240" w:after="240" w:line="360" w:lineRule="auto"/>
        <w:ind w:left="0" w:right="423" w:firstLine="0"/>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 xml:space="preserve">As all financial dealings are transparent with a high degree of integrity and accountability, the college has always been commended by the RJDCE. </w:t>
      </w:r>
    </w:p>
    <w:p w14:paraId="5DA58BFD" w14:textId="77777777" w:rsidR="00EC7797" w:rsidRDefault="00EC7797">
      <w:pPr>
        <w:tabs>
          <w:tab w:val="left" w:pos="567"/>
        </w:tabs>
        <w:rPr>
          <w:rFonts w:ascii="Bookman Old Style" w:eastAsia="Bookman Old Style" w:hAnsi="Bookman Old Style" w:cs="Bookman Old Style"/>
          <w:sz w:val="24"/>
          <w:szCs w:val="24"/>
        </w:rPr>
      </w:pPr>
    </w:p>
    <w:p w14:paraId="7A33C543" w14:textId="77777777" w:rsidR="00EC7797" w:rsidRDefault="00EC7797">
      <w:pPr>
        <w:tabs>
          <w:tab w:val="left" w:pos="567"/>
        </w:tabs>
        <w:jc w:val="center"/>
      </w:pPr>
    </w:p>
    <w:p w14:paraId="2F239759" w14:textId="77777777" w:rsidR="00EC7797" w:rsidRDefault="00EC7797">
      <w:pPr>
        <w:tabs>
          <w:tab w:val="left" w:pos="567"/>
        </w:tabs>
        <w:jc w:val="center"/>
      </w:pPr>
    </w:p>
    <w:p w14:paraId="0371FC7D" w14:textId="77777777" w:rsidR="00EC7797" w:rsidRDefault="00EC7797">
      <w:pPr>
        <w:tabs>
          <w:tab w:val="left" w:pos="567"/>
        </w:tabs>
        <w:jc w:val="center"/>
      </w:pPr>
    </w:p>
    <w:p w14:paraId="46F00201" w14:textId="77777777" w:rsidR="00EC7797" w:rsidRDefault="00EC7797">
      <w:pPr>
        <w:tabs>
          <w:tab w:val="left" w:pos="567"/>
        </w:tabs>
        <w:jc w:val="center"/>
      </w:pPr>
    </w:p>
    <w:p w14:paraId="0089BBDB" w14:textId="77777777" w:rsidR="00EC7797" w:rsidRDefault="00EC7797">
      <w:pPr>
        <w:tabs>
          <w:tab w:val="left" w:pos="567"/>
        </w:tabs>
        <w:jc w:val="center"/>
      </w:pPr>
    </w:p>
    <w:p w14:paraId="3EF86BB8" w14:textId="77777777" w:rsidR="00EC7797" w:rsidRDefault="00EC7797">
      <w:pPr>
        <w:tabs>
          <w:tab w:val="left" w:pos="567"/>
        </w:tabs>
        <w:jc w:val="center"/>
      </w:pPr>
    </w:p>
    <w:p w14:paraId="5B493D4C" w14:textId="77777777" w:rsidR="00EC7797" w:rsidRDefault="00EC7797">
      <w:pPr>
        <w:tabs>
          <w:tab w:val="left" w:pos="567"/>
        </w:tabs>
        <w:jc w:val="center"/>
      </w:pPr>
    </w:p>
    <w:p w14:paraId="23C16E8B" w14:textId="77777777" w:rsidR="00EC7797" w:rsidRDefault="00EC7797">
      <w:pPr>
        <w:tabs>
          <w:tab w:val="left" w:pos="567"/>
        </w:tabs>
        <w:jc w:val="center"/>
      </w:pPr>
    </w:p>
    <w:p w14:paraId="4EBA8D7B" w14:textId="77777777" w:rsidR="00EC7797" w:rsidRDefault="00EC7797">
      <w:pPr>
        <w:tabs>
          <w:tab w:val="left" w:pos="567"/>
        </w:tabs>
        <w:jc w:val="center"/>
      </w:pPr>
    </w:p>
    <w:p w14:paraId="65D2905B" w14:textId="77777777" w:rsidR="00EC7797" w:rsidRDefault="00EC7797">
      <w:pPr>
        <w:tabs>
          <w:tab w:val="left" w:pos="567"/>
        </w:tabs>
        <w:jc w:val="center"/>
      </w:pPr>
    </w:p>
    <w:p w14:paraId="59F8E9BE" w14:textId="77777777" w:rsidR="00EC7797" w:rsidRDefault="00EC7797">
      <w:pPr>
        <w:tabs>
          <w:tab w:val="left" w:pos="567"/>
        </w:tabs>
        <w:jc w:val="center"/>
      </w:pPr>
    </w:p>
    <w:p w14:paraId="3D2C1370" w14:textId="77777777" w:rsidR="00EC7797" w:rsidRDefault="00EC7797">
      <w:pPr>
        <w:tabs>
          <w:tab w:val="left" w:pos="567"/>
        </w:tabs>
        <w:jc w:val="center"/>
      </w:pPr>
    </w:p>
    <w:p w14:paraId="5EF27B5D" w14:textId="77777777" w:rsidR="00EC7797" w:rsidRDefault="00EC7797">
      <w:pPr>
        <w:tabs>
          <w:tab w:val="left" w:pos="567"/>
        </w:tabs>
        <w:jc w:val="center"/>
      </w:pPr>
    </w:p>
    <w:sectPr w:rsidR="00EC7797">
      <w:headerReference w:type="default" r:id="rId8"/>
      <w:footerReference w:type="default" r:id="rId9"/>
      <w:pgSz w:w="11906" w:h="16838"/>
      <w:pgMar w:top="709"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B8E998" w14:textId="77777777" w:rsidR="00CA3576" w:rsidRDefault="00CA3576">
      <w:pPr>
        <w:spacing w:after="0" w:line="240" w:lineRule="auto"/>
      </w:pPr>
      <w:r>
        <w:separator/>
      </w:r>
    </w:p>
  </w:endnote>
  <w:endnote w:type="continuationSeparator" w:id="0">
    <w:p w14:paraId="22DD484A" w14:textId="77777777" w:rsidR="00CA3576" w:rsidRDefault="00CA3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8BE7B7B-28B0-415E-AFE2-320D22BECA5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6A14710-F007-422B-BC0E-2B97FB7980E4}"/>
    <w:embedBold r:id="rId3" w:fontKey="{02BF3CAF-0CD4-4D45-B449-A5BE7A5F161D}"/>
    <w:embedBoldItalic r:id="rId4" w:fontKey="{EB6D7AF7-9593-46B3-9092-1779650BFE0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5" w:fontKey="{5F867F4F-183B-43C1-A64B-2C48F2CC5EE7}"/>
  </w:font>
  <w:font w:name="Georgia">
    <w:panose1 w:val="02040502050405020303"/>
    <w:charset w:val="00"/>
    <w:family w:val="roman"/>
    <w:pitch w:val="variable"/>
    <w:sig w:usb0="00000287" w:usb1="00000000" w:usb2="00000000" w:usb3="00000000" w:csb0="0000009F" w:csb1="00000000"/>
    <w:embedRegular r:id="rId6" w:fontKey="{84246615-D577-4207-A7C4-E1A203A312B9}"/>
    <w:embedItalic r:id="rId7" w:fontKey="{38B83819-2F1E-4BD9-B88B-2962A71C6AFF}"/>
  </w:font>
  <w:font w:name="Bookman Old Style">
    <w:panose1 w:val="02050604050505020204"/>
    <w:charset w:val="00"/>
    <w:family w:val="roman"/>
    <w:pitch w:val="variable"/>
    <w:sig w:usb0="00000287" w:usb1="00000000" w:usb2="00000000" w:usb3="00000000" w:csb0="0000009F" w:csb1="00000000"/>
    <w:embedRegular r:id="rId8" w:fontKey="{BD136AF5-0ECC-4AEB-AE28-BF9F1C0CD1C9}"/>
    <w:embedBold r:id="rId9" w:fontKey="{E03F83A2-E51A-4A85-A493-DFA7F5309E9D}"/>
  </w:font>
  <w:font w:name="Amaranth">
    <w:panose1 w:val="02000503050000020004"/>
    <w:charset w:val="00"/>
    <w:family w:val="modern"/>
    <w:notTrueType/>
    <w:pitch w:val="variable"/>
    <w:sig w:usb0="A0000027" w:usb1="00000043" w:usb2="00000000" w:usb3="00000000" w:csb0="00000111" w:csb1="00000000"/>
  </w:font>
  <w:font w:name="Calibri Light">
    <w:panose1 w:val="020F0302020204030204"/>
    <w:charset w:val="00"/>
    <w:family w:val="swiss"/>
    <w:pitch w:val="variable"/>
    <w:sig w:usb0="E4002EFF" w:usb1="C000247B" w:usb2="00000009" w:usb3="00000000" w:csb0="000001FF" w:csb1="00000000"/>
    <w:embedRegular r:id="rId10" w:fontKey="{D05A01E0-FEFF-4ED6-AC82-FA15212C71B2}"/>
  </w:font>
  <w:font w:name="Latha">
    <w:panose1 w:val="020B0604020202020204"/>
    <w:charset w:val="00"/>
    <w:family w:val="swiss"/>
    <w:pitch w:val="variable"/>
    <w:sig w:usb0="00100003" w:usb1="00000000" w:usb2="00000000" w:usb3="00000000" w:csb0="00000001" w:csb1="00000000"/>
    <w:embedRegular r:id="rId11" w:fontKey="{C4A01FB2-281A-4105-A6BC-E0625E3428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C528A" w14:textId="19BBF455" w:rsidR="00EC7797" w:rsidRDefault="00000000">
    <w:pPr>
      <w:pBdr>
        <w:top w:val="single" w:sz="24" w:space="1" w:color="823B0B"/>
        <w:left w:val="nil"/>
        <w:bottom w:val="nil"/>
        <w:right w:val="nil"/>
        <w:between w:val="nil"/>
      </w:pBdr>
      <w:tabs>
        <w:tab w:val="center" w:pos="4513"/>
        <w:tab w:val="right" w:pos="9026"/>
      </w:tabs>
      <w:spacing w:after="0" w:line="240" w:lineRule="auto"/>
      <w:rPr>
        <w:rFonts w:eastAsia="Calibri"/>
        <w:color w:val="000000"/>
      </w:rPr>
    </w:pPr>
    <w:r>
      <w:rPr>
        <w:rFonts w:eastAsia="Calibri"/>
        <w:b/>
        <w:color w:val="0D0D0D"/>
        <w:sz w:val="20"/>
        <w:szCs w:val="20"/>
      </w:rPr>
      <w:t>Annual Quality Assurance Report (AQAR) (202</w:t>
    </w:r>
    <w:r w:rsidR="004C7F30">
      <w:rPr>
        <w:rFonts w:eastAsia="Calibri"/>
        <w:b/>
        <w:color w:val="0D0D0D"/>
        <w:sz w:val="20"/>
        <w:szCs w:val="20"/>
      </w:rPr>
      <w:t>2</w:t>
    </w:r>
    <w:r>
      <w:rPr>
        <w:rFonts w:eastAsia="Calibri"/>
        <w:b/>
        <w:color w:val="0D0D0D"/>
        <w:sz w:val="20"/>
        <w:szCs w:val="20"/>
      </w:rPr>
      <w:t xml:space="preserve"> – 202</w:t>
    </w:r>
    <w:r w:rsidR="004C7F30">
      <w:rPr>
        <w:rFonts w:eastAsia="Calibri"/>
        <w:b/>
        <w:color w:val="0D0D0D"/>
        <w:sz w:val="20"/>
        <w:szCs w:val="20"/>
      </w:rPr>
      <w:t>3</w:t>
    </w:r>
    <w:r>
      <w:rPr>
        <w:rFonts w:eastAsia="Calibri"/>
        <w:b/>
        <w:color w:val="0D0D0D"/>
        <w:sz w:val="20"/>
        <w:szCs w:val="20"/>
      </w:rPr>
      <w:t>)</w:t>
    </w:r>
  </w:p>
  <w:p w14:paraId="6DA71E58" w14:textId="77777777" w:rsidR="00EC7797" w:rsidRDefault="00EC7797">
    <w:pPr>
      <w:pBdr>
        <w:top w:val="nil"/>
        <w:left w:val="nil"/>
        <w:bottom w:val="nil"/>
        <w:right w:val="nil"/>
        <w:between w:val="nil"/>
      </w:pBdr>
      <w:tabs>
        <w:tab w:val="center" w:pos="4513"/>
        <w:tab w:val="right" w:pos="9026"/>
      </w:tabs>
      <w:spacing w:after="0" w:line="240" w:lineRule="auto"/>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43FF72" w14:textId="77777777" w:rsidR="00CA3576" w:rsidRDefault="00CA3576">
      <w:pPr>
        <w:spacing w:after="0" w:line="240" w:lineRule="auto"/>
      </w:pPr>
      <w:r>
        <w:separator/>
      </w:r>
    </w:p>
  </w:footnote>
  <w:footnote w:type="continuationSeparator" w:id="0">
    <w:p w14:paraId="08426564" w14:textId="77777777" w:rsidR="00CA3576" w:rsidRDefault="00CA35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57F3A" w14:textId="27CF48C6" w:rsidR="00EC7797" w:rsidRDefault="00000000">
    <w:pPr>
      <w:spacing w:after="0" w:line="240" w:lineRule="auto"/>
      <w:ind w:right="-46"/>
      <w:jc w:val="center"/>
      <w:rPr>
        <w:rFonts w:ascii="Amaranth" w:eastAsia="Amaranth" w:hAnsi="Amaranth" w:cs="Amaranth"/>
        <w:b/>
        <w:color w:val="003399"/>
        <w:sz w:val="20"/>
        <w:szCs w:val="20"/>
      </w:rPr>
    </w:pPr>
    <w:r>
      <w:rPr>
        <w:rFonts w:ascii="Amaranth" w:eastAsia="Amaranth" w:hAnsi="Amaranth" w:cs="Amaranth"/>
        <w:b/>
        <w:color w:val="003399"/>
        <w:sz w:val="38"/>
        <w:szCs w:val="38"/>
      </w:rPr>
      <w:t xml:space="preserve">Fatima College </w:t>
    </w:r>
    <w:r>
      <w:rPr>
        <w:rFonts w:ascii="Amaranth" w:eastAsia="Amaranth" w:hAnsi="Amaranth" w:cs="Amaranth"/>
        <w:b/>
        <w:color w:val="003399"/>
        <w:sz w:val="38"/>
        <w:szCs w:val="38"/>
      </w:rPr>
      <w:br/>
    </w:r>
    <w:r>
      <w:rPr>
        <w:rFonts w:ascii="Amaranth" w:eastAsia="Amaranth" w:hAnsi="Amaranth" w:cs="Amaranth"/>
        <w:b/>
        <w:color w:val="003399"/>
        <w:sz w:val="20"/>
        <w:szCs w:val="20"/>
      </w:rPr>
      <w:t>(Autonomous)</w:t>
    </w:r>
    <w:r>
      <w:rPr>
        <w:rFonts w:ascii="Amaranth" w:eastAsia="Amaranth" w:hAnsi="Amaranth" w:cs="Amaranth"/>
        <w:b/>
        <w:color w:val="002060"/>
        <w:sz w:val="28"/>
        <w:szCs w:val="28"/>
      </w:rPr>
      <w:br/>
    </w:r>
    <w:r>
      <w:rPr>
        <w:rFonts w:ascii="Amaranth" w:eastAsia="Amaranth" w:hAnsi="Amaranth" w:cs="Amaranth"/>
        <w:b/>
        <w:i/>
        <w:color w:val="C00000"/>
        <w:sz w:val="20"/>
        <w:szCs w:val="20"/>
      </w:rPr>
      <w:t>Affiliated to Madurai Kamaraj University</w:t>
    </w:r>
    <w:r>
      <w:rPr>
        <w:rFonts w:ascii="Amaranth" w:eastAsia="Amaranth" w:hAnsi="Amaranth" w:cs="Amaranth"/>
        <w:b/>
        <w:i/>
        <w:color w:val="C00000"/>
        <w:sz w:val="20"/>
        <w:szCs w:val="20"/>
      </w:rPr>
      <w:br/>
      <w:t xml:space="preserve"> Re-Accredited with ‘A++’ by NAAC (Cycle - IV)</w:t>
    </w:r>
    <w:r>
      <w:rPr>
        <w:rFonts w:ascii="Amaranth" w:eastAsia="Amaranth" w:hAnsi="Amaranth" w:cs="Amaranth"/>
        <w:b/>
        <w:i/>
        <w:color w:val="C00000"/>
        <w:sz w:val="20"/>
        <w:szCs w:val="20"/>
      </w:rPr>
      <w:br/>
      <w:t xml:space="preserve"> </w:t>
    </w:r>
    <w:r>
      <w:rPr>
        <w:rFonts w:ascii="Amaranth" w:eastAsia="Amaranth" w:hAnsi="Amaranth" w:cs="Amaranth"/>
        <w:b/>
        <w:color w:val="003399"/>
        <w:sz w:val="20"/>
        <w:szCs w:val="20"/>
      </w:rPr>
      <w:t>Mary Land, Madurai - 625018, Tamil Nadu</w:t>
    </w:r>
    <w:r>
      <w:rPr>
        <w:noProof/>
      </w:rPr>
      <w:drawing>
        <wp:anchor distT="0" distB="0" distL="114300" distR="114300" simplePos="0" relativeHeight="251658240" behindDoc="0" locked="0" layoutInCell="1" hidden="0" allowOverlap="1" wp14:anchorId="0E5661A2" wp14:editId="22EC2EA3">
          <wp:simplePos x="0" y="0"/>
          <wp:positionH relativeFrom="column">
            <wp:posOffset>-57149</wp:posOffset>
          </wp:positionH>
          <wp:positionV relativeFrom="paragraph">
            <wp:posOffset>26035</wp:posOffset>
          </wp:positionV>
          <wp:extent cx="968375" cy="962025"/>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68375" cy="962025"/>
                  </a:xfrm>
                  <a:prstGeom prst="rect">
                    <a:avLst/>
                  </a:prstGeom>
                  <a:ln/>
                </pic:spPr>
              </pic:pic>
            </a:graphicData>
          </a:graphic>
        </wp:anchor>
      </w:drawing>
    </w:r>
  </w:p>
  <w:p w14:paraId="28FEC31E" w14:textId="41818314" w:rsidR="00EC7797" w:rsidRDefault="004C7F30">
    <w:pPr>
      <w:spacing w:after="0" w:line="240" w:lineRule="auto"/>
      <w:ind w:right="-46"/>
      <w:jc w:val="center"/>
      <w:rPr>
        <w:b/>
        <w:i/>
        <w:color w:val="C00000"/>
        <w:sz w:val="20"/>
        <w:szCs w:val="20"/>
      </w:rPr>
    </w:pPr>
    <w:r>
      <w:rPr>
        <w:b/>
        <w:i/>
        <w:noProof/>
        <w:color w:val="C00000"/>
        <w:sz w:val="20"/>
        <w:szCs w:val="20"/>
      </w:rPr>
      <mc:AlternateContent>
        <mc:Choice Requires="wps">
          <w:drawing>
            <wp:anchor distT="0" distB="0" distL="114300" distR="114300" simplePos="0" relativeHeight="251660288" behindDoc="0" locked="0" layoutInCell="1" allowOverlap="1" wp14:anchorId="208E6325" wp14:editId="21E726E8">
              <wp:simplePos x="0" y="0"/>
              <wp:positionH relativeFrom="column">
                <wp:posOffset>-352425</wp:posOffset>
              </wp:positionH>
              <wp:positionV relativeFrom="paragraph">
                <wp:posOffset>213360</wp:posOffset>
              </wp:positionV>
              <wp:extent cx="6400800" cy="9525"/>
              <wp:effectExtent l="0" t="0" r="19050" b="28575"/>
              <wp:wrapNone/>
              <wp:docPr id="459507793" name="Straight Connector 1"/>
              <wp:cNvGraphicFramePr/>
              <a:graphic xmlns:a="http://schemas.openxmlformats.org/drawingml/2006/main">
                <a:graphicData uri="http://schemas.microsoft.com/office/word/2010/wordprocessingShape">
                  <wps:wsp>
                    <wps:cNvCnPr/>
                    <wps:spPr>
                      <a:xfrm flipV="1">
                        <a:off x="0" y="0"/>
                        <a:ext cx="64008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D990CB" id="Straight Connector 1"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7.75pt,16.8pt" to="476.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" strokecolor="#4472c4 [3204]" strokeweight=".5pt">
              <v:stroke joinstyle="miter"/>
            </v:line>
          </w:pict>
        </mc:Fallback>
      </mc:AlternateContent>
    </w:r>
  </w:p>
  <w:p w14:paraId="509010B7" w14:textId="77777777" w:rsidR="00EC7797" w:rsidRDefault="00000000">
    <w:pPr>
      <w:jc w:val="center"/>
    </w:pPr>
    <w:r>
      <w:rPr>
        <w:noProof/>
      </w:rPr>
      <mc:AlternateContent>
        <mc:Choice Requires="wps">
          <w:drawing>
            <wp:anchor distT="0" distB="0" distL="114300" distR="114300" simplePos="0" relativeHeight="251659264" behindDoc="0" locked="0" layoutInCell="1" hidden="0" allowOverlap="1" wp14:anchorId="59C5F230" wp14:editId="19E90683">
              <wp:simplePos x="0" y="0"/>
              <wp:positionH relativeFrom="column">
                <wp:posOffset>-203199</wp:posOffset>
              </wp:positionH>
              <wp:positionV relativeFrom="paragraph">
                <wp:posOffset>101600</wp:posOffset>
              </wp:positionV>
              <wp:extent cx="0" cy="12700"/>
              <wp:effectExtent l="0" t="0" r="0" b="0"/>
              <wp:wrapNone/>
              <wp:docPr id="6" name="Freeform: Shape 6"/>
              <wp:cNvGraphicFramePr/>
              <a:graphic xmlns:a="http://schemas.openxmlformats.org/drawingml/2006/main">
                <a:graphicData uri="http://schemas.microsoft.com/office/word/2010/wordprocessingShape">
                  <wps:wsp>
                    <wps:cNvSpPr/>
                    <wps:spPr>
                      <a:xfrm>
                        <a:off x="2061463" y="3780000"/>
                        <a:ext cx="6569075" cy="0"/>
                      </a:xfrm>
                      <a:custGeom>
                        <a:avLst/>
                        <a:gdLst/>
                        <a:ahLst/>
                        <a:cxnLst/>
                        <a:rect l="l" t="t" r="r" b="b"/>
                        <a:pathLst>
                          <a:path w="6569075" h="1" extrusionOk="0">
                            <a:moveTo>
                              <a:pt x="0" y="0"/>
                            </a:moveTo>
                            <a:lnTo>
                              <a:pt x="6569075" y="0"/>
                            </a:lnTo>
                          </a:path>
                        </a:pathLst>
                      </a:custGeom>
                      <a:solidFill>
                        <a:srgbClr val="FFFFFF"/>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-203199</wp:posOffset>
              </wp:positionH>
              <wp:positionV relativeFrom="paragraph">
                <wp:posOffset>101600</wp:posOffset>
              </wp:positionV>
              <wp:extent cx="0" cy="12700"/>
              <wp:effectExtent b="0" l="0" r="0" t="0"/>
              <wp:wrapNone/>
              <wp:docPr id="6"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274B4A"/>
    <w:multiLevelType w:val="multilevel"/>
    <w:tmpl w:val="2946B8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7885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797"/>
    <w:rsid w:val="004C7F30"/>
    <w:rsid w:val="005C70F3"/>
    <w:rsid w:val="00CA3576"/>
    <w:rsid w:val="00EC7797"/>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EAF7A"/>
  <w15:docId w15:val="{80262967-4E5E-435A-9A6F-AAEE1B68C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N" w:eastAsia="en-IN" w:bidi="ta-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03D"/>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rsid w:val="00A96F2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7E6D0A"/>
    <w:rPr>
      <w:i/>
      <w:iCs/>
    </w:rPr>
  </w:style>
  <w:style w:type="paragraph" w:styleId="BalloonText">
    <w:name w:val="Balloon Text"/>
    <w:basedOn w:val="Normal"/>
    <w:link w:val="BalloonTextChar"/>
    <w:uiPriority w:val="99"/>
    <w:semiHidden/>
    <w:unhideWhenUsed/>
    <w:rsid w:val="00AD2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E9B"/>
    <w:rPr>
      <w:rFonts w:ascii="Tahoma" w:hAnsi="Tahoma" w:cs="Tahoma"/>
      <w:sz w:val="16"/>
      <w:szCs w:val="16"/>
    </w:rPr>
  </w:style>
  <w:style w:type="paragraph" w:styleId="Header">
    <w:name w:val="header"/>
    <w:basedOn w:val="Normal"/>
    <w:link w:val="HeaderChar"/>
    <w:uiPriority w:val="99"/>
    <w:unhideWhenUsed/>
    <w:rsid w:val="00EF3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0D4"/>
  </w:style>
  <w:style w:type="paragraph" w:styleId="Footer">
    <w:name w:val="footer"/>
    <w:basedOn w:val="Normal"/>
    <w:link w:val="FooterChar"/>
    <w:uiPriority w:val="99"/>
    <w:unhideWhenUsed/>
    <w:rsid w:val="00EF3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0D4"/>
  </w:style>
  <w:style w:type="character" w:styleId="IntenseReference">
    <w:name w:val="Intense Reference"/>
    <w:basedOn w:val="DefaultParagraphFont"/>
    <w:uiPriority w:val="32"/>
    <w:qFormat/>
    <w:rsid w:val="00DF30DE"/>
    <w:rPr>
      <w:b/>
      <w:bCs/>
      <w:smallCaps/>
      <w:color w:val="4472C4" w:themeColor="accent1"/>
      <w:spacing w:val="5"/>
    </w:rPr>
  </w:style>
  <w:style w:type="paragraph" w:styleId="ListParagraph">
    <w:name w:val="List Paragraph"/>
    <w:basedOn w:val="Normal"/>
    <w:uiPriority w:val="34"/>
    <w:qFormat/>
    <w:rsid w:val="0032203D"/>
    <w:pPr>
      <w:ind w:left="720"/>
      <w:contextualSpacing/>
    </w:pPr>
    <w:rPr>
      <w:rFonts w:eastAsia="Calibri" w:cs="Times New Roman"/>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FIhUetsojt1FHyKSuDkbpA7x89A==">AMUW2mVugT9c1Wg8mMypmRaxntQ8ja8206ZWj5/DeB3Mc+NmFiXrFH/UbT+f+YuPp+97CTl0THQu0htBnKU28i16oLx/lAT9Qh2i8mobmE5xVx2G5KO1+ac=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209</Words>
  <Characters>1193</Characters>
  <Application>Microsoft Office Word</Application>
  <DocSecurity>0</DocSecurity>
  <Lines>9</Lines>
  <Paragraphs>2</Paragraphs>
  <ScaleCrop>false</ScaleCrop>
  <Company/>
  <LinksUpToDate>false</LinksUpToDate>
  <CharactersWithSpaces>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mary</dc:creator>
  <cp:lastModifiedBy>Sathya S</cp:lastModifiedBy>
  <cp:revision>4</cp:revision>
  <dcterms:created xsi:type="dcterms:W3CDTF">2021-11-29T06:47:00Z</dcterms:created>
  <dcterms:modified xsi:type="dcterms:W3CDTF">2024-05-03T08:07:00Z</dcterms:modified>
</cp:coreProperties>
</file>