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36B3A" w14:textId="77777777" w:rsidR="004E5EAB" w:rsidRDefault="004E5EAB" w:rsidP="004E5EAB">
      <w:pPr>
        <w:spacing w:after="0"/>
      </w:pPr>
    </w:p>
    <w:p w14:paraId="4CF58A47" w14:textId="77777777" w:rsidR="004E5EAB" w:rsidRDefault="004E5EAB" w:rsidP="004E5EAB">
      <w:pPr>
        <w:spacing w:after="0"/>
      </w:pPr>
    </w:p>
    <w:p w14:paraId="44E0C3C6" w14:textId="11A79B36" w:rsidR="004E5EAB" w:rsidRPr="000C74DA" w:rsidRDefault="004E5EAB" w:rsidP="004E5EAB">
      <w:pPr>
        <w:spacing w:after="0"/>
        <w:rPr>
          <w:rFonts w:ascii="Amaranth" w:hAnsi="Amaranth" w:cs="Arial"/>
          <w:bCs/>
          <w:color w:val="C00000"/>
          <w:sz w:val="28"/>
          <w:szCs w:val="21"/>
        </w:rPr>
      </w:pPr>
      <w:r w:rsidRPr="000C74DA">
        <w:rPr>
          <w:rFonts w:ascii="Amaranth" w:hAnsi="Amaranth" w:cs="Arial"/>
          <w:bCs/>
          <w:color w:val="C00000"/>
          <w:sz w:val="28"/>
          <w:szCs w:val="21"/>
        </w:rPr>
        <w:t>6.3.</w:t>
      </w:r>
      <w:r w:rsidR="000C74DA" w:rsidRPr="000C74DA">
        <w:rPr>
          <w:rFonts w:ascii="Amaranth" w:hAnsi="Amaranth" w:cs="Arial"/>
          <w:bCs/>
          <w:color w:val="C00000"/>
          <w:sz w:val="28"/>
          <w:szCs w:val="21"/>
        </w:rPr>
        <w:t>3</w:t>
      </w:r>
      <w:r w:rsidRPr="000C74DA">
        <w:rPr>
          <w:rFonts w:ascii="Amaranth" w:hAnsi="Amaranth" w:cs="Arial"/>
          <w:bCs/>
          <w:color w:val="C00000"/>
          <w:sz w:val="28"/>
          <w:szCs w:val="21"/>
        </w:rPr>
        <w:t xml:space="preserve">. Number of </w:t>
      </w:r>
      <w:r w:rsidR="000C74DA" w:rsidRPr="000C74DA">
        <w:rPr>
          <w:rFonts w:ascii="Amaranth" w:hAnsi="Amaranth" w:cs="Arial"/>
          <w:bCs/>
          <w:color w:val="C00000"/>
          <w:sz w:val="28"/>
          <w:szCs w:val="21"/>
        </w:rPr>
        <w:t>professional development / administrative training programmes organized by the institution for its teaching and non-teaching staff during the year</w:t>
      </w:r>
    </w:p>
    <w:p w14:paraId="249C8A2E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246DC893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b/>
          <w:bCs/>
          <w:color w:val="C00000"/>
          <w:sz w:val="28"/>
          <w:szCs w:val="28"/>
        </w:rPr>
      </w:pPr>
    </w:p>
    <w:p w14:paraId="22B47C48" w14:textId="77777777" w:rsidR="006F575F" w:rsidRPr="002C79C8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01109793" w14:textId="77777777" w:rsidR="006F575F" w:rsidRPr="00C37CA0" w:rsidRDefault="006F575F" w:rsidP="006F575F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6F575F" w:rsidRPr="002C79C8" w14:paraId="2E0EE08B" w14:textId="77777777" w:rsidTr="00EB01F2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4938577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5A7426BB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34FECD18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6F575F" w:rsidRPr="002C79C8" w14:paraId="348C9D27" w14:textId="77777777" w:rsidTr="004E5EAB">
        <w:trPr>
          <w:trHeight w:val="97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2A125" w14:textId="56808B0B" w:rsidR="006F575F" w:rsidRPr="001C78EB" w:rsidRDefault="00A87F7B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</w:t>
            </w:r>
            <w:r w:rsidR="006F575F"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75207" w14:textId="77777777" w:rsidR="000C74DA" w:rsidRPr="000C74DA" w:rsidRDefault="000C74DA" w:rsidP="00A87F7B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0C74DA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Professional development / administrative training </w:t>
            </w:r>
            <w:proofErr w:type="spellStart"/>
            <w:r w:rsidRPr="000C74DA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programmes</w:t>
            </w:r>
            <w:proofErr w:type="spellEnd"/>
            <w:r w:rsidRPr="000C74DA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 </w:t>
            </w:r>
          </w:p>
          <w:p w14:paraId="730CE281" w14:textId="5F92AEA8" w:rsidR="006F575F" w:rsidRPr="001C78EB" w:rsidRDefault="000C74DA" w:rsidP="00A87F7B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0C74DA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organized by the institution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5A5570" w14:textId="295550BC" w:rsidR="006F575F" w:rsidRPr="002C79C8" w:rsidRDefault="004E5EAB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bookmarkStart w:id="0" w:name="_GoBack"/>
            <w:r w:rsidRPr="004F4AED">
              <w:rPr>
                <w:rFonts w:ascii="Cambria Math" w:hAnsi="Cambria Math"/>
                <w:noProof/>
                <w:color w:val="0000FF"/>
                <w:lang w:val="en-US"/>
              </w:rPr>
              <w:drawing>
                <wp:inline distT="0" distB="0" distL="0" distR="0" wp14:anchorId="4906FC23" wp14:editId="19435440">
                  <wp:extent cx="428625" cy="428625"/>
                  <wp:effectExtent l="19050" t="0" r="9525" b="0"/>
                  <wp:docPr id="4" name="Picture 2" descr="C:\Users\libnet31\Desktop\6.2.3_files\pdfnew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bnet31\Desktop\6.2.3_files\pdfnew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96DFEBB" w14:textId="637AC112" w:rsidR="006F575F" w:rsidRPr="002C79C8" w:rsidRDefault="006F575F" w:rsidP="006F575F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2BD21909" w14:textId="77777777" w:rsidR="006F575F" w:rsidRDefault="006F575F" w:rsidP="006F575F">
      <w:pPr>
        <w:rPr>
          <w:rStyle w:val="style18"/>
          <w:rFonts w:ascii="Cambria Math" w:hAnsi="Cambria Math"/>
          <w:b/>
          <w:color w:val="C00000"/>
          <w:sz w:val="28"/>
          <w:szCs w:val="28"/>
        </w:rPr>
      </w:pPr>
    </w:p>
    <w:p w14:paraId="36174496" w14:textId="77777777" w:rsidR="006F575F" w:rsidRDefault="006F575F" w:rsidP="006F575F"/>
    <w:p w14:paraId="35AF11EC" w14:textId="77777777" w:rsidR="006F575F" w:rsidRDefault="006F575F" w:rsidP="006F575F">
      <w:pPr>
        <w:spacing w:after="360"/>
        <w:rPr>
          <w:rFonts w:ascii="Amaranth" w:hAnsi="Amaranth"/>
          <w:color w:val="C00000"/>
          <w:sz w:val="30"/>
          <w:szCs w:val="30"/>
        </w:rPr>
      </w:pPr>
    </w:p>
    <w:p w14:paraId="52276D9F" w14:textId="77777777" w:rsidR="006F575F" w:rsidRDefault="006F575F" w:rsidP="00DE14EA">
      <w:pPr>
        <w:spacing w:before="120"/>
      </w:pPr>
    </w:p>
    <w:p w14:paraId="572BB163" w14:textId="77777777" w:rsidR="00A07E15" w:rsidRPr="00A07E15" w:rsidRDefault="00A07E15" w:rsidP="00A07E15"/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060818AB" w14:textId="57779B7F" w:rsidR="001B6DD7" w:rsidRPr="00A07E15" w:rsidRDefault="001B6DD7" w:rsidP="00A07E15">
      <w:pPr>
        <w:tabs>
          <w:tab w:val="left" w:pos="6360"/>
        </w:tabs>
      </w:pPr>
    </w:p>
    <w:sectPr w:rsidR="001B6DD7" w:rsidRPr="00A07E15" w:rsidSect="00DE14EA">
      <w:headerReference w:type="default" r:id="rId9"/>
      <w:footerReference w:type="default" r:id="rId10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E5442" w14:textId="77777777" w:rsidR="008119FE" w:rsidRDefault="008119FE" w:rsidP="001B6DD7">
      <w:pPr>
        <w:spacing w:after="0" w:line="240" w:lineRule="auto"/>
      </w:pPr>
      <w:r>
        <w:separator/>
      </w:r>
    </w:p>
  </w:endnote>
  <w:endnote w:type="continuationSeparator" w:id="0">
    <w:p w14:paraId="05295BF6" w14:textId="77777777" w:rsidR="008119FE" w:rsidRDefault="008119FE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F88EB" w14:textId="77777777" w:rsidR="008119FE" w:rsidRDefault="008119FE" w:rsidP="001B6DD7">
      <w:pPr>
        <w:spacing w:after="0" w:line="240" w:lineRule="auto"/>
      </w:pPr>
      <w:r>
        <w:separator/>
      </w:r>
    </w:p>
  </w:footnote>
  <w:footnote w:type="continuationSeparator" w:id="0">
    <w:p w14:paraId="086998EB" w14:textId="77777777" w:rsidR="008119FE" w:rsidRDefault="008119FE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66C2AF3F" w:rsidR="001B6DD7" w:rsidRPr="001B6DD7" w:rsidRDefault="006F575F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557AE57C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C17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0C74DA"/>
    <w:rsid w:val="001262D8"/>
    <w:rsid w:val="00140205"/>
    <w:rsid w:val="001B6DD7"/>
    <w:rsid w:val="001E37EC"/>
    <w:rsid w:val="00281FD8"/>
    <w:rsid w:val="003F7806"/>
    <w:rsid w:val="004E5EAB"/>
    <w:rsid w:val="00536B92"/>
    <w:rsid w:val="00552798"/>
    <w:rsid w:val="005D228C"/>
    <w:rsid w:val="00605700"/>
    <w:rsid w:val="006F575F"/>
    <w:rsid w:val="00701FE9"/>
    <w:rsid w:val="007177D8"/>
    <w:rsid w:val="008119FE"/>
    <w:rsid w:val="00A07E15"/>
    <w:rsid w:val="00A87F7B"/>
    <w:rsid w:val="00A9536F"/>
    <w:rsid w:val="00CB0F00"/>
    <w:rsid w:val="00CB5236"/>
    <w:rsid w:val="00CD77B1"/>
    <w:rsid w:val="00D65D1C"/>
    <w:rsid w:val="00DC3385"/>
    <w:rsid w:val="00DE14EA"/>
    <w:rsid w:val="00F76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6F575F"/>
    <w:rPr>
      <w:b/>
      <w:bCs/>
    </w:rPr>
  </w:style>
  <w:style w:type="character" w:customStyle="1" w:styleId="style18">
    <w:name w:val="style18"/>
    <w:rsid w:val="006F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fatimacollegemdu.org/NAAC-IV-CYCLE/C-36529/C-6/6.2.3/6.2.3-SD-File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imacollegemdu.org/AQAR/C-36529/2022-2023/C-6/6.3.3/6.3.3-SD1-Report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2</cp:revision>
  <cp:lastPrinted>2024-05-05T19:08:00Z</cp:lastPrinted>
  <dcterms:created xsi:type="dcterms:W3CDTF">2024-05-05T19:13:00Z</dcterms:created>
  <dcterms:modified xsi:type="dcterms:W3CDTF">2024-05-05T19:13:00Z</dcterms:modified>
</cp:coreProperties>
</file>