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84" w:rsidRPr="004510F2" w:rsidRDefault="003A4884" w:rsidP="003A4884">
      <w:pPr>
        <w:tabs>
          <w:tab w:val="left" w:pos="1260"/>
          <w:tab w:val="left" w:pos="1560"/>
        </w:tabs>
        <w:spacing w:before="240" w:after="240" w:line="360" w:lineRule="auto"/>
        <w:ind w:left="360" w:right="565"/>
        <w:jc w:val="both"/>
        <w:rPr>
          <w:rFonts w:ascii="Bookman Old Style" w:hAnsi="Bookman Old Style"/>
          <w:b/>
          <w:sz w:val="24"/>
          <w:szCs w:val="24"/>
        </w:rPr>
      </w:pPr>
      <w:r w:rsidRPr="004510F2">
        <w:rPr>
          <w:rFonts w:ascii="Bookman Old Style" w:hAnsi="Bookman Old Style"/>
          <w:b/>
          <w:sz w:val="24"/>
          <w:szCs w:val="24"/>
        </w:rPr>
        <w:t>6.3.1 The Institution has effective welfare measures for teaching and non-teaching Staff and avenues for their career development/progression.</w:t>
      </w:r>
    </w:p>
    <w:p w:rsidR="003A4884" w:rsidRPr="002B3559" w:rsidRDefault="003A4884" w:rsidP="003A4884">
      <w:pPr>
        <w:tabs>
          <w:tab w:val="left" w:pos="1260"/>
        </w:tabs>
        <w:spacing w:before="240" w:after="240" w:line="360" w:lineRule="auto"/>
        <w:ind w:left="567" w:right="565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</w:p>
    <w:p w:rsidR="003A4884" w:rsidRPr="002B3559" w:rsidRDefault="003A4884" w:rsidP="003A4884">
      <w:pPr>
        <w:tabs>
          <w:tab w:val="left" w:pos="1260"/>
        </w:tabs>
        <w:spacing w:before="240" w:after="240" w:line="360" w:lineRule="auto"/>
        <w:ind w:left="567" w:right="56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following measures promote the welfare of </w:t>
      </w:r>
      <w:r w:rsidRPr="002B3559">
        <w:rPr>
          <w:rFonts w:ascii="Bookman Old Style" w:hAnsi="Bookman Old Style"/>
          <w:b/>
          <w:sz w:val="24"/>
          <w:szCs w:val="24"/>
        </w:rPr>
        <w:t>ALL STAFF:</w:t>
      </w:r>
    </w:p>
    <w:p w:rsidR="003A4884" w:rsidRPr="002B3559" w:rsidRDefault="003A4884" w:rsidP="003A4884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wards of the Staff are given </w:t>
      </w:r>
      <w:r w:rsidRPr="002B3559">
        <w:rPr>
          <w:rFonts w:ascii="Bookman Old Style" w:hAnsi="Bookman Old Style"/>
          <w:b/>
          <w:sz w:val="24"/>
          <w:szCs w:val="24"/>
        </w:rPr>
        <w:t>admission</w:t>
      </w:r>
      <w:r>
        <w:rPr>
          <w:rFonts w:ascii="Bookman Old Style" w:hAnsi="Bookman Old Style"/>
          <w:sz w:val="24"/>
          <w:szCs w:val="24"/>
        </w:rPr>
        <w:t xml:space="preserve"> to programmes of their choice.</w:t>
      </w:r>
    </w:p>
    <w:p w:rsidR="003A4884" w:rsidRPr="002B3559" w:rsidRDefault="003A4884" w:rsidP="003A4884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Financial assistance is provided through the </w:t>
      </w:r>
      <w:r>
        <w:rPr>
          <w:rFonts w:ascii="Bookman Old Style" w:hAnsi="Bookman Old Style"/>
          <w:b/>
          <w:sz w:val="24"/>
          <w:szCs w:val="24"/>
        </w:rPr>
        <w:t>Staff Club.</w:t>
      </w:r>
    </w:p>
    <w:p w:rsidR="003A4884" w:rsidRPr="002B3559" w:rsidRDefault="003A4884" w:rsidP="003A4884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Medical check-up </w:t>
      </w:r>
      <w:r>
        <w:rPr>
          <w:rFonts w:ascii="Bookman Old Style" w:hAnsi="Bookman Old Style"/>
          <w:sz w:val="24"/>
          <w:szCs w:val="24"/>
        </w:rPr>
        <w:t>is conducted periodically.</w:t>
      </w:r>
    </w:p>
    <w:p w:rsidR="003A4884" w:rsidRPr="002B3559" w:rsidRDefault="003A4884" w:rsidP="003A4884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Cash prizes </w:t>
      </w:r>
      <w:r w:rsidRPr="002B3559">
        <w:rPr>
          <w:rFonts w:ascii="Bookman Old Style" w:hAnsi="Bookman Old Style"/>
          <w:sz w:val="24"/>
          <w:szCs w:val="24"/>
        </w:rPr>
        <w:t>are given for research publications</w:t>
      </w:r>
      <w:r>
        <w:rPr>
          <w:rFonts w:ascii="Bookman Old Style" w:hAnsi="Bookman Old Style"/>
          <w:sz w:val="24"/>
          <w:szCs w:val="24"/>
        </w:rPr>
        <w:t>.</w:t>
      </w:r>
      <w:r w:rsidRPr="002B3559">
        <w:rPr>
          <w:rFonts w:ascii="Bookman Old Style" w:hAnsi="Bookman Old Style"/>
          <w:sz w:val="24"/>
          <w:szCs w:val="24"/>
        </w:rPr>
        <w:t xml:space="preserve"> </w:t>
      </w:r>
    </w:p>
    <w:p w:rsidR="003A4884" w:rsidRPr="002B3559" w:rsidRDefault="003A4884" w:rsidP="003A4884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Foreign language courses are </w:t>
      </w:r>
      <w:r w:rsidRPr="002B3559">
        <w:rPr>
          <w:rFonts w:ascii="Bookman Old Style" w:hAnsi="Bookman Old Style"/>
          <w:sz w:val="24"/>
          <w:szCs w:val="24"/>
        </w:rPr>
        <w:t>organized for the teaching staff.</w:t>
      </w:r>
    </w:p>
    <w:p w:rsidR="003A4884" w:rsidRPr="00C666A7" w:rsidRDefault="003A4884" w:rsidP="003A4884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C666A7">
        <w:rPr>
          <w:rFonts w:ascii="Bookman Old Style" w:hAnsi="Bookman Old Style"/>
          <w:sz w:val="24"/>
          <w:szCs w:val="24"/>
        </w:rPr>
        <w:t>Free internet facility</w:t>
      </w:r>
      <w:r>
        <w:rPr>
          <w:rFonts w:ascii="Bookman Old Style" w:hAnsi="Bookman Old Style"/>
          <w:sz w:val="24"/>
          <w:szCs w:val="24"/>
        </w:rPr>
        <w:t xml:space="preserve"> is provided to the staff.</w:t>
      </w:r>
    </w:p>
    <w:p w:rsidR="003A4884" w:rsidRDefault="003A4884" w:rsidP="003A4884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Mandatory welfare schemes </w:t>
      </w:r>
      <w:r>
        <w:rPr>
          <w:rFonts w:ascii="Bookman Old Style" w:hAnsi="Bookman Old Style"/>
          <w:sz w:val="24"/>
          <w:szCs w:val="24"/>
        </w:rPr>
        <w:t>such as</w:t>
      </w:r>
      <w:r w:rsidRPr="002B3559">
        <w:rPr>
          <w:rFonts w:ascii="Bookman Old Style" w:hAnsi="Bookman Old Style"/>
          <w:sz w:val="24"/>
          <w:szCs w:val="24"/>
        </w:rPr>
        <w:t xml:space="preserve"> gratuity and contributions to EPF (</w:t>
      </w:r>
      <w:r w:rsidRPr="002B3559">
        <w:rPr>
          <w:rFonts w:ascii="Bookman Old Style" w:hAnsi="Bookman Old Style"/>
          <w:b/>
          <w:sz w:val="24"/>
          <w:szCs w:val="24"/>
        </w:rPr>
        <w:t>Employees Provident Fund)</w:t>
      </w:r>
      <w:r w:rsidRPr="002B3559">
        <w:rPr>
          <w:rFonts w:ascii="Bookman Old Style" w:hAnsi="Bookman Old Style"/>
          <w:sz w:val="24"/>
          <w:szCs w:val="24"/>
        </w:rPr>
        <w:t xml:space="preserve"> are in place. Staff who are in the unaided section are members of ESI (Employees’ State Insurance Corporations).</w:t>
      </w:r>
    </w:p>
    <w:p w:rsidR="003A4884" w:rsidRDefault="003A4884" w:rsidP="003A4884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Pongal </w:t>
      </w:r>
      <w:r w:rsidRPr="002B3559">
        <w:rPr>
          <w:rFonts w:ascii="Bookman Old Style" w:hAnsi="Bookman Old Style"/>
          <w:b/>
          <w:sz w:val="24"/>
          <w:szCs w:val="24"/>
        </w:rPr>
        <w:t>Bonus</w:t>
      </w:r>
      <w:r w:rsidRPr="002B3559">
        <w:rPr>
          <w:rFonts w:ascii="Bookman Old Style" w:hAnsi="Bookman Old Style"/>
          <w:sz w:val="24"/>
          <w:szCs w:val="24"/>
        </w:rPr>
        <w:t xml:space="preserve"> is given to all teaching and non-teaching staff.</w:t>
      </w:r>
    </w:p>
    <w:p w:rsidR="003A4884" w:rsidRPr="002B3559" w:rsidRDefault="003A4884" w:rsidP="003A4884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Salary is revised periodically for the staff of the self-financing section.</w:t>
      </w:r>
    </w:p>
    <w:p w:rsidR="003A4884" w:rsidRPr="002B3559" w:rsidRDefault="003A4884" w:rsidP="003A4884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All </w:t>
      </w:r>
      <w:r w:rsidRPr="002B3559">
        <w:rPr>
          <w:rFonts w:ascii="Bookman Old Style" w:hAnsi="Bookman Old Style"/>
          <w:b/>
          <w:sz w:val="24"/>
          <w:szCs w:val="24"/>
        </w:rPr>
        <w:t xml:space="preserve">Jubilarians </w:t>
      </w:r>
      <w:r w:rsidRPr="002B3559">
        <w:rPr>
          <w:rFonts w:ascii="Bookman Old Style" w:hAnsi="Bookman Old Style"/>
          <w:sz w:val="24"/>
          <w:szCs w:val="24"/>
        </w:rPr>
        <w:t>and retiring staff are felicitated with mementos in silver and gold.</w:t>
      </w:r>
    </w:p>
    <w:p w:rsidR="003A4884" w:rsidRDefault="003A4884" w:rsidP="003A4884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lastRenderedPageBreak/>
        <w:t xml:space="preserve">Retreats </w:t>
      </w:r>
      <w:r w:rsidR="003D5890" w:rsidRPr="003D5890">
        <w:rPr>
          <w:rFonts w:ascii="Bookman Old Style" w:hAnsi="Bookman Old Style"/>
          <w:sz w:val="24"/>
          <w:szCs w:val="24"/>
        </w:rPr>
        <w:t xml:space="preserve">are </w:t>
      </w:r>
      <w:r w:rsidRPr="002B3559">
        <w:rPr>
          <w:rFonts w:ascii="Bookman Old Style" w:hAnsi="Bookman Old Style"/>
          <w:sz w:val="24"/>
          <w:szCs w:val="24"/>
        </w:rPr>
        <w:t>organized for the Catholic staff.</w:t>
      </w:r>
    </w:p>
    <w:p w:rsidR="003A4884" w:rsidRPr="00500D3E" w:rsidRDefault="003A4884" w:rsidP="00500D3E">
      <w:pPr>
        <w:pStyle w:val="ListParagraph"/>
        <w:numPr>
          <w:ilvl w:val="0"/>
          <w:numId w:val="1"/>
        </w:numPr>
        <w:tabs>
          <w:tab w:val="left" w:pos="1260"/>
        </w:tabs>
        <w:spacing w:before="240" w:after="240" w:line="360" w:lineRule="auto"/>
        <w:ind w:left="1276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500D3E">
        <w:rPr>
          <w:rFonts w:ascii="Bookman Old Style" w:hAnsi="Bookman Old Style"/>
          <w:sz w:val="24"/>
          <w:szCs w:val="24"/>
        </w:rPr>
        <w:t xml:space="preserve">Academic and professional competency is recognized by way of </w:t>
      </w:r>
      <w:r w:rsidRPr="00500D3E">
        <w:rPr>
          <w:rFonts w:ascii="Bookman Old Style" w:hAnsi="Bookman Old Style"/>
          <w:b/>
          <w:sz w:val="24"/>
          <w:szCs w:val="24"/>
        </w:rPr>
        <w:t xml:space="preserve">Best Performance Awards </w:t>
      </w:r>
      <w:r w:rsidRPr="00500D3E">
        <w:rPr>
          <w:rFonts w:ascii="Bookman Old Style" w:hAnsi="Bookman Old Style"/>
          <w:sz w:val="24"/>
          <w:szCs w:val="24"/>
        </w:rPr>
        <w:t>in 4 categories - Arts, Science, Self-financing and Professional.</w:t>
      </w:r>
    </w:p>
    <w:p w:rsidR="00EF30D4" w:rsidRDefault="00EF30D4" w:rsidP="003A4884">
      <w:pPr>
        <w:tabs>
          <w:tab w:val="left" w:pos="1260"/>
        </w:tabs>
        <w:spacing w:before="240" w:after="240" w:line="360" w:lineRule="auto"/>
        <w:ind w:right="-46"/>
      </w:pPr>
    </w:p>
    <w:sectPr w:rsidR="00EF30D4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47" w:rsidRDefault="00252E47" w:rsidP="00EF30D4">
      <w:pPr>
        <w:spacing w:after="0" w:line="240" w:lineRule="auto"/>
      </w:pPr>
      <w:r>
        <w:separator/>
      </w:r>
    </w:p>
  </w:endnote>
  <w:endnote w:type="continuationSeparator" w:id="1">
    <w:p w:rsidR="00252E47" w:rsidRDefault="00252E47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 (2020 – 2021)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47" w:rsidRDefault="00252E47" w:rsidP="00EF30D4">
      <w:pPr>
        <w:spacing w:after="0" w:line="240" w:lineRule="auto"/>
      </w:pPr>
      <w:r>
        <w:separator/>
      </w:r>
    </w:p>
  </w:footnote>
  <w:footnote w:type="continuationSeparator" w:id="1">
    <w:p w:rsidR="00252E47" w:rsidRDefault="00252E47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7B" w:rsidRDefault="00EF30D4" w:rsidP="00EF30D4">
    <w:pPr>
      <w:spacing w:after="0" w:line="240" w:lineRule="auto"/>
      <w:ind w:right="-46"/>
      <w:jc w:val="center"/>
      <w:rPr>
        <w:rFonts w:ascii="Calibri" w:hAnsi="Calibri" w:cs="Calibri"/>
        <w:b/>
        <w:bCs/>
        <w:i/>
        <w:iCs/>
        <w:color w:val="C00000"/>
        <w:sz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="0087317B">
      <w:rPr>
        <w:rFonts w:ascii="Calibri" w:hAnsi="Calibri" w:cs="Calibri"/>
        <w:b/>
        <w:bCs/>
        <w:i/>
        <w:iCs/>
        <w:color w:val="C00000"/>
        <w:sz w:val="20"/>
      </w:rPr>
      <w:t>Affiliated to Madurai Kamarj University</w:t>
    </w:r>
  </w:p>
  <w:p w:rsidR="00EF30D4" w:rsidRPr="00393F99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>
      <w:rPr>
        <w:rFonts w:ascii="Calibri" w:hAnsi="Calibri" w:cs="Calibri"/>
        <w:b/>
        <w:bCs/>
        <w:i/>
        <w:iCs/>
        <w:color w:val="C00000"/>
        <w:sz w:val="20"/>
      </w:rPr>
      <w:t>‘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>
      <w:rPr>
        <w:rFonts w:ascii="Calibri" w:hAnsi="Calibri" w:cs="Calibri"/>
        <w:b/>
        <w:bCs/>
        <w:i/>
        <w:iCs/>
        <w:color w:val="C00000"/>
        <w:sz w:val="20"/>
      </w:rPr>
      <w:t xml:space="preserve">’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by NAAC (Cycle</w:t>
    </w:r>
    <w:r>
      <w:rPr>
        <w:rFonts w:ascii="Calibri" w:hAnsi="Calibri" w:cs="Calibri"/>
        <w:b/>
        <w:bCs/>
        <w:i/>
        <w:iCs/>
        <w:color w:val="C00000"/>
        <w:sz w:val="20"/>
      </w:rPr>
      <w:t>- IV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EF30D4" w:rsidRPr="00EF30D4" w:rsidRDefault="00603D5B" w:rsidP="00EF30D4">
    <w:pPr>
      <w:jc w:val="center"/>
    </w:pPr>
    <w:r w:rsidRPr="00603D5B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2F0D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160556"/>
    <w:rsid w:val="00195357"/>
    <w:rsid w:val="0020373C"/>
    <w:rsid w:val="0021077B"/>
    <w:rsid w:val="0021087F"/>
    <w:rsid w:val="00252E47"/>
    <w:rsid w:val="0031539F"/>
    <w:rsid w:val="003225C8"/>
    <w:rsid w:val="00393F99"/>
    <w:rsid w:val="003A4884"/>
    <w:rsid w:val="003D5890"/>
    <w:rsid w:val="004D4817"/>
    <w:rsid w:val="00500D3E"/>
    <w:rsid w:val="0052294F"/>
    <w:rsid w:val="0057280A"/>
    <w:rsid w:val="00573DEB"/>
    <w:rsid w:val="005A7615"/>
    <w:rsid w:val="005F7048"/>
    <w:rsid w:val="00603D5B"/>
    <w:rsid w:val="00690721"/>
    <w:rsid w:val="006B4C98"/>
    <w:rsid w:val="007678B5"/>
    <w:rsid w:val="007E6D0A"/>
    <w:rsid w:val="0087317B"/>
    <w:rsid w:val="008C54D6"/>
    <w:rsid w:val="0094468C"/>
    <w:rsid w:val="009A558E"/>
    <w:rsid w:val="00A21BDE"/>
    <w:rsid w:val="00A90353"/>
    <w:rsid w:val="00A96F2E"/>
    <w:rsid w:val="00AD2E9B"/>
    <w:rsid w:val="00BA25DD"/>
    <w:rsid w:val="00BC1E61"/>
    <w:rsid w:val="00C023D2"/>
    <w:rsid w:val="00C229A7"/>
    <w:rsid w:val="00C4357E"/>
    <w:rsid w:val="00C5090D"/>
    <w:rsid w:val="00C65B8F"/>
    <w:rsid w:val="00DF30DE"/>
    <w:rsid w:val="00DF6EA3"/>
    <w:rsid w:val="00EA1BE6"/>
    <w:rsid w:val="00ED669B"/>
    <w:rsid w:val="00E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C8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3225C8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27</cp:revision>
  <cp:lastPrinted>2021-11-29T08:57:00Z</cp:lastPrinted>
  <dcterms:created xsi:type="dcterms:W3CDTF">2021-11-29T06:47:00Z</dcterms:created>
  <dcterms:modified xsi:type="dcterms:W3CDTF">2024-04-15T10:44:00Z</dcterms:modified>
</cp:coreProperties>
</file>