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72" w:rsidRPr="002B3559" w:rsidRDefault="00A60872" w:rsidP="00A60872">
      <w:pPr>
        <w:tabs>
          <w:tab w:val="left" w:pos="8789"/>
        </w:tabs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6.2.1 The institutional Strategic/Perspective plan </w:t>
      </w:r>
      <w:r>
        <w:rPr>
          <w:rFonts w:ascii="Bookman Old Style" w:hAnsi="Bookman Old Style"/>
          <w:b/>
          <w:sz w:val="24"/>
          <w:szCs w:val="24"/>
        </w:rPr>
        <w:t>has been clearly articulated and implemented.</w:t>
      </w:r>
    </w:p>
    <w:p w:rsidR="00A60872" w:rsidRPr="002B3559" w:rsidRDefault="00A60872" w:rsidP="00A60872">
      <w:pPr>
        <w:tabs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B77846" w:rsidRDefault="00A60872" w:rsidP="00A60872">
      <w:pPr>
        <w:tabs>
          <w:tab w:val="left" w:pos="1260"/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Curriculum Development: Introduction of new courses </w:t>
      </w:r>
    </w:p>
    <w:p w:rsidR="00A60872" w:rsidRDefault="00A60872" w:rsidP="00A60872">
      <w:pPr>
        <w:tabs>
          <w:tab w:val="left" w:pos="1260"/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Fatima College has used its autonomous status to design a range of well-crafted and comprehensive curriculum with clearly defined learning objectives and outcomes. </w:t>
      </w:r>
    </w:p>
    <w:p w:rsidR="00A60872" w:rsidRPr="002B3559" w:rsidRDefault="00A60872" w:rsidP="00A60872">
      <w:pPr>
        <w:tabs>
          <w:tab w:val="left" w:pos="1260"/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The curriculum is </w:t>
      </w:r>
      <w:r w:rsidRPr="002B3559">
        <w:rPr>
          <w:rFonts w:ascii="Bookman Old Style" w:hAnsi="Bookman Old Style"/>
          <w:b/>
          <w:caps/>
          <w:sz w:val="24"/>
          <w:szCs w:val="24"/>
        </w:rPr>
        <w:t>IcT</w:t>
      </w:r>
      <w:r w:rsidRPr="002B3559">
        <w:rPr>
          <w:rFonts w:ascii="Bookman Old Style" w:hAnsi="Bookman Old Style"/>
          <w:b/>
          <w:sz w:val="24"/>
          <w:szCs w:val="24"/>
        </w:rPr>
        <w:t xml:space="preserve"> based, a rich blend of the traditional and contemporary, meeting global, national and regional needs promoting an experiential learning environment.</w:t>
      </w:r>
    </w:p>
    <w:p w:rsidR="00A60872" w:rsidRDefault="00A60872" w:rsidP="00A60872">
      <w:pPr>
        <w:tabs>
          <w:tab w:val="left" w:pos="1260"/>
          <w:tab w:val="left" w:pos="8789"/>
        </w:tabs>
        <w:spacing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sz w:val="24"/>
          <w:szCs w:val="24"/>
        </w:rPr>
        <w:t>guidelines for introduction of new courses and restructuring the existing ones</w:t>
      </w:r>
      <w:r>
        <w:rPr>
          <w:rFonts w:ascii="Bookman Old Style" w:hAnsi="Bookman Old Style"/>
          <w:sz w:val="24"/>
          <w:szCs w:val="24"/>
        </w:rPr>
        <w:t xml:space="preserve"> are</w:t>
      </w:r>
      <w:r w:rsidRPr="002B3559">
        <w:rPr>
          <w:rFonts w:ascii="Bookman Old Style" w:hAnsi="Bookman Old Style"/>
          <w:sz w:val="24"/>
          <w:szCs w:val="24"/>
        </w:rPr>
        <w:t xml:space="preserve"> in tune with the UGC and Tamil Nadu State Council for Higher Education (TANSCHE) guidelines. </w:t>
      </w:r>
    </w:p>
    <w:p w:rsidR="00A60872" w:rsidRDefault="00A60872" w:rsidP="00A60872">
      <w:pPr>
        <w:tabs>
          <w:tab w:val="left" w:pos="1260"/>
          <w:tab w:val="left" w:pos="8789"/>
        </w:tabs>
        <w:spacing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comprehensive curriculum </w:t>
      </w:r>
      <w:r>
        <w:rPr>
          <w:rFonts w:ascii="Bookman Old Style" w:hAnsi="Bookman Old Style"/>
          <w:sz w:val="24"/>
          <w:szCs w:val="24"/>
        </w:rPr>
        <w:t xml:space="preserve">under Outcome Based Education </w:t>
      </w:r>
      <w:r w:rsidRPr="002B3559">
        <w:rPr>
          <w:rFonts w:ascii="Bookman Old Style" w:hAnsi="Bookman Old Style"/>
          <w:sz w:val="24"/>
          <w:szCs w:val="24"/>
        </w:rPr>
        <w:t xml:space="preserve">fosters students’ analytic, creative and personal skills suitable for the emerging job markets. </w:t>
      </w:r>
    </w:p>
    <w:p w:rsidR="00A60872" w:rsidRPr="002B3559" w:rsidRDefault="00A60872" w:rsidP="00A60872">
      <w:pPr>
        <w:tabs>
          <w:tab w:val="left" w:pos="1260"/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2B3559">
        <w:rPr>
          <w:rFonts w:ascii="Bookman Old Style" w:hAnsi="Bookman Old Style"/>
          <w:sz w:val="24"/>
          <w:szCs w:val="24"/>
        </w:rPr>
        <w:t xml:space="preserve">here has been an incremental growth </w:t>
      </w:r>
      <w:r>
        <w:rPr>
          <w:rFonts w:ascii="Bookman Old Style" w:hAnsi="Bookman Old Style"/>
          <w:sz w:val="24"/>
          <w:szCs w:val="24"/>
        </w:rPr>
        <w:t>in the number of new courses introduced</w:t>
      </w:r>
      <w:r w:rsidRPr="002B355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62761">
        <w:rPr>
          <w:rFonts w:ascii="Bookman Old Style" w:hAnsi="Bookman Old Style"/>
          <w:b/>
          <w:sz w:val="24"/>
          <w:szCs w:val="24"/>
        </w:rPr>
        <w:t>This is the result of the successful implementation of the plans discussed in the Academic Council.</w:t>
      </w:r>
    </w:p>
    <w:p w:rsidR="00A60872" w:rsidRPr="002B3559" w:rsidRDefault="00A60872" w:rsidP="00A60872">
      <w:pPr>
        <w:tabs>
          <w:tab w:val="left" w:pos="1260"/>
          <w:tab w:val="left" w:pos="8789"/>
        </w:tabs>
        <w:spacing w:before="240" w:after="240"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b/>
          <w:sz w:val="24"/>
          <w:szCs w:val="24"/>
        </w:rPr>
        <w:t xml:space="preserve">Deans of Academic Affairs </w:t>
      </w:r>
      <w:r w:rsidRPr="002B3559">
        <w:rPr>
          <w:rFonts w:ascii="Bookman Old Style" w:hAnsi="Bookman Old Style"/>
          <w:sz w:val="24"/>
          <w:szCs w:val="24"/>
        </w:rPr>
        <w:t xml:space="preserve">in consultation with the Heads </w:t>
      </w:r>
      <w:r>
        <w:rPr>
          <w:rFonts w:ascii="Bookman Old Style" w:hAnsi="Bookman Old Style"/>
          <w:sz w:val="24"/>
          <w:szCs w:val="24"/>
        </w:rPr>
        <w:t>of departments set the</w:t>
      </w:r>
      <w:r w:rsidRPr="002B3559">
        <w:rPr>
          <w:rFonts w:ascii="Bookman Old Style" w:hAnsi="Bookman Old Style"/>
          <w:sz w:val="24"/>
          <w:szCs w:val="24"/>
        </w:rPr>
        <w:t xml:space="preserve"> process </w:t>
      </w:r>
      <w:r>
        <w:rPr>
          <w:rFonts w:ascii="Bookman Old Style" w:hAnsi="Bookman Old Style"/>
          <w:sz w:val="24"/>
          <w:szCs w:val="24"/>
        </w:rPr>
        <w:t>of restructuring the curriculum to provide academic flexibility and mobility to the learners.</w:t>
      </w:r>
    </w:p>
    <w:p w:rsidR="00A60872" w:rsidRPr="002B3559" w:rsidRDefault="00A60872" w:rsidP="00A60872">
      <w:pPr>
        <w:pStyle w:val="ListParagraph"/>
        <w:numPr>
          <w:ilvl w:val="0"/>
          <w:numId w:val="1"/>
        </w:numPr>
        <w:tabs>
          <w:tab w:val="left" w:pos="1260"/>
          <w:tab w:val="left" w:pos="8789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 xml:space="preserve">Consultations </w:t>
      </w:r>
      <w:r w:rsidRPr="002B3559">
        <w:rPr>
          <w:rFonts w:ascii="Bookman Old Style" w:hAnsi="Bookman Old Style"/>
          <w:sz w:val="24"/>
          <w:szCs w:val="24"/>
        </w:rPr>
        <w:t>with external members, expert committee members, Board of Studies members, industrialists, students, parents and alumnae is the primary strategy adopted to enrich curriculum.</w:t>
      </w:r>
    </w:p>
    <w:p w:rsidR="00A60872" w:rsidRDefault="00A60872" w:rsidP="00A60872">
      <w:pPr>
        <w:pStyle w:val="ListParagraph"/>
        <w:numPr>
          <w:ilvl w:val="0"/>
          <w:numId w:val="1"/>
        </w:numPr>
        <w:tabs>
          <w:tab w:val="left" w:pos="1260"/>
          <w:tab w:val="left" w:pos="8789"/>
        </w:tabs>
        <w:spacing w:before="240" w:after="240" w:line="360" w:lineRule="auto"/>
        <w:ind w:left="0" w:right="9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lastRenderedPageBreak/>
        <w:t>Feedback</w:t>
      </w:r>
      <w:r w:rsidRPr="002B3559">
        <w:rPr>
          <w:rFonts w:ascii="Bookman Old Style" w:hAnsi="Bookman Old Style"/>
          <w:sz w:val="24"/>
          <w:szCs w:val="24"/>
        </w:rPr>
        <w:t xml:space="preserve"> is obtained from various stakeholders and suggestions are noted for appropriate action. </w:t>
      </w:r>
    </w:p>
    <w:p w:rsidR="00EF30D4" w:rsidRDefault="00EF30D4" w:rsidP="00A60872">
      <w:pPr>
        <w:tabs>
          <w:tab w:val="left" w:pos="8789"/>
        </w:tabs>
        <w:ind w:right="95"/>
        <w:jc w:val="both"/>
      </w:pPr>
    </w:p>
    <w:p w:rsidR="00783EE4" w:rsidRDefault="00783EE4" w:rsidP="00A60872">
      <w:pPr>
        <w:tabs>
          <w:tab w:val="left" w:pos="8789"/>
        </w:tabs>
        <w:ind w:right="95"/>
        <w:jc w:val="both"/>
      </w:pPr>
    </w:p>
    <w:p w:rsidR="00783EE4" w:rsidRDefault="00783EE4" w:rsidP="00A60872">
      <w:pPr>
        <w:tabs>
          <w:tab w:val="left" w:pos="8789"/>
        </w:tabs>
        <w:ind w:right="95"/>
        <w:jc w:val="both"/>
      </w:pPr>
    </w:p>
    <w:sectPr w:rsidR="00783EE4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27" w:rsidRDefault="000A3427" w:rsidP="00EF30D4">
      <w:pPr>
        <w:spacing w:after="0" w:line="240" w:lineRule="auto"/>
      </w:pPr>
      <w:r>
        <w:separator/>
      </w:r>
    </w:p>
  </w:endnote>
  <w:endnote w:type="continuationSeparator" w:id="1">
    <w:p w:rsidR="000A3427" w:rsidRDefault="000A3427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="00CD5DCA">
      <w:rPr>
        <w:rFonts w:ascii="Calibri" w:hAnsi="Calibri" w:cs="Calibri"/>
        <w:b/>
        <w:bCs/>
        <w:iCs/>
        <w:color w:val="0D0D0D"/>
        <w:sz w:val="20"/>
        <w:szCs w:val="20"/>
      </w:rPr>
      <w:t>) (2022 – 2023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27" w:rsidRDefault="000A3427" w:rsidP="00EF30D4">
      <w:pPr>
        <w:spacing w:after="0" w:line="240" w:lineRule="auto"/>
      </w:pPr>
      <w:r>
        <w:separator/>
      </w:r>
    </w:p>
  </w:footnote>
  <w:footnote w:type="continuationSeparator" w:id="1">
    <w:p w:rsidR="000A3427" w:rsidRDefault="000A3427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CA" w:rsidRDefault="00EF30D4" w:rsidP="00EF30D4">
    <w:pPr>
      <w:spacing w:after="0" w:line="240" w:lineRule="auto"/>
      <w:ind w:right="-46"/>
      <w:jc w:val="center"/>
      <w:rPr>
        <w:rFonts w:ascii="Calibri" w:hAnsi="Calibri" w:cs="Calibri"/>
        <w:b/>
        <w:bCs/>
        <w:i/>
        <w:iCs/>
        <w:color w:val="C00000"/>
        <w:sz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CD5DCA">
      <w:rPr>
        <w:rFonts w:ascii="Calibri" w:hAnsi="Calibri" w:cs="Calibri"/>
        <w:b/>
        <w:bCs/>
        <w:i/>
        <w:iCs/>
        <w:color w:val="C00000"/>
        <w:sz w:val="20"/>
      </w:rPr>
      <w:t>Affiliated to Madurai Kamaraj University</w:t>
    </w:r>
  </w:p>
  <w:p w:rsidR="00EF30D4" w:rsidRPr="00393F99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Re-Accredited with </w:t>
    </w:r>
    <w:r>
      <w:rPr>
        <w:rFonts w:ascii="Calibri" w:hAnsi="Calibri" w:cs="Calibri"/>
        <w:b/>
        <w:bCs/>
        <w:i/>
        <w:iCs/>
        <w:color w:val="C00000"/>
        <w:sz w:val="20"/>
      </w:rPr>
      <w:t>‘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A++</w:t>
    </w:r>
    <w:r>
      <w:rPr>
        <w:rFonts w:ascii="Calibri" w:hAnsi="Calibri" w:cs="Calibri"/>
        <w:b/>
        <w:bCs/>
        <w:i/>
        <w:iCs/>
        <w:color w:val="C00000"/>
        <w:sz w:val="20"/>
      </w:rPr>
      <w:t xml:space="preserve">’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>by NAAC (Cycle</w:t>
    </w:r>
    <w:r>
      <w:rPr>
        <w:rFonts w:ascii="Calibri" w:hAnsi="Calibri" w:cs="Calibri"/>
        <w:b/>
        <w:bCs/>
        <w:i/>
        <w:iCs/>
        <w:color w:val="C00000"/>
        <w:sz w:val="20"/>
      </w:rPr>
      <w:t>- IV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t xml:space="preserve">) </w:t>
    </w:r>
    <w:r w:rsidRPr="00BC1E61">
      <w:rPr>
        <w:rFonts w:ascii="Calibri" w:hAnsi="Calibri" w:cs="Calibri"/>
        <w:b/>
        <w:bCs/>
        <w:i/>
        <w:iCs/>
        <w:color w:val="C00000"/>
        <w:sz w:val="20"/>
      </w:rPr>
      <w:br/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Mary Land, Madurai </w:t>
    </w:r>
    <w:r w:rsidR="007678B5">
      <w:rPr>
        <w:rFonts w:ascii="Calibri" w:hAnsi="Calibri" w:cs="Calibri"/>
        <w:b/>
        <w:bCs/>
        <w:iCs/>
        <w:color w:val="003399"/>
        <w:sz w:val="20"/>
      </w:rPr>
      <w:t>-</w:t>
    </w:r>
    <w:r w:rsidRPr="00393F99">
      <w:rPr>
        <w:rFonts w:ascii="Calibri" w:hAnsi="Calibri" w:cs="Calibri"/>
        <w:b/>
        <w:bCs/>
        <w:iCs/>
        <w:color w:val="003399"/>
        <w:sz w:val="20"/>
      </w:rPr>
      <w:t xml:space="preserve"> 625</w:t>
    </w:r>
    <w:r w:rsidR="007678B5">
      <w:rPr>
        <w:rFonts w:ascii="Calibri" w:hAnsi="Calibri" w:cs="Calibri"/>
        <w:b/>
        <w:bCs/>
        <w:iCs/>
        <w:color w:val="003399"/>
        <w:sz w:val="20"/>
      </w:rPr>
      <w:t xml:space="preserve"> </w:t>
    </w:r>
    <w:r w:rsidRPr="00393F99">
      <w:rPr>
        <w:rFonts w:ascii="Calibri" w:hAnsi="Calibri" w:cs="Calibri"/>
        <w:b/>
        <w:bCs/>
        <w:iCs/>
        <w:color w:val="003399"/>
        <w:sz w:val="20"/>
      </w:rPr>
      <w:t>018, Tamil Nadu</w:t>
    </w:r>
    <w:r w:rsidR="007678B5">
      <w:rPr>
        <w:rFonts w:ascii="Calibri" w:hAnsi="Calibri" w:cs="Calibri"/>
        <w:b/>
        <w:bCs/>
        <w:iCs/>
        <w:color w:val="003399"/>
        <w:sz w:val="20"/>
      </w:rPr>
      <w:t>.</w:t>
    </w:r>
  </w:p>
  <w:p w:rsidR="00EF30D4" w:rsidRPr="00EF30D4" w:rsidRDefault="003B26CA" w:rsidP="00EF30D4">
    <w:pPr>
      <w:jc w:val="center"/>
    </w:pPr>
    <w:r w:rsidRPr="003B26CA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F0D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268D2"/>
    <w:rsid w:val="000A3427"/>
    <w:rsid w:val="000B2B20"/>
    <w:rsid w:val="00153ABC"/>
    <w:rsid w:val="00160556"/>
    <w:rsid w:val="001674B7"/>
    <w:rsid w:val="00195357"/>
    <w:rsid w:val="0020373C"/>
    <w:rsid w:val="0021077B"/>
    <w:rsid w:val="0021087F"/>
    <w:rsid w:val="00393F99"/>
    <w:rsid w:val="003B26CA"/>
    <w:rsid w:val="004351EB"/>
    <w:rsid w:val="00444EBF"/>
    <w:rsid w:val="0052294F"/>
    <w:rsid w:val="00573DEB"/>
    <w:rsid w:val="005A7615"/>
    <w:rsid w:val="005F7048"/>
    <w:rsid w:val="00610CEE"/>
    <w:rsid w:val="006B4C98"/>
    <w:rsid w:val="007564B1"/>
    <w:rsid w:val="007678B5"/>
    <w:rsid w:val="00783EE4"/>
    <w:rsid w:val="007E6D0A"/>
    <w:rsid w:val="008A2161"/>
    <w:rsid w:val="008C54D6"/>
    <w:rsid w:val="009A29B6"/>
    <w:rsid w:val="009A558E"/>
    <w:rsid w:val="00A1565B"/>
    <w:rsid w:val="00A21BDE"/>
    <w:rsid w:val="00A60872"/>
    <w:rsid w:val="00A96F2E"/>
    <w:rsid w:val="00AA560E"/>
    <w:rsid w:val="00AD2E9B"/>
    <w:rsid w:val="00AF5F6F"/>
    <w:rsid w:val="00B77846"/>
    <w:rsid w:val="00BC1E61"/>
    <w:rsid w:val="00C023D2"/>
    <w:rsid w:val="00C229A7"/>
    <w:rsid w:val="00C5090D"/>
    <w:rsid w:val="00CD5DCA"/>
    <w:rsid w:val="00D809E3"/>
    <w:rsid w:val="00DF30DE"/>
    <w:rsid w:val="00EA1BE6"/>
    <w:rsid w:val="00EF30D4"/>
    <w:rsid w:val="00F46A7C"/>
    <w:rsid w:val="00F4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7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A60872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3E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26</cp:revision>
  <cp:lastPrinted>2021-11-29T08:57:00Z</cp:lastPrinted>
  <dcterms:created xsi:type="dcterms:W3CDTF">2021-11-29T06:47:00Z</dcterms:created>
  <dcterms:modified xsi:type="dcterms:W3CDTF">2024-05-02T08:57:00Z</dcterms:modified>
</cp:coreProperties>
</file>