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36" w:rsidRPr="002B3559" w:rsidRDefault="00FD1D36" w:rsidP="00FD1D36">
      <w:pP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6.1.1 (5) The Governance of the institution is reflective of an effective leadership in tune with the vision</w:t>
      </w:r>
      <w:r>
        <w:rPr>
          <w:rFonts w:ascii="Bookman Old Style" w:hAnsi="Bookman Old Style"/>
          <w:b/>
          <w:sz w:val="24"/>
          <w:szCs w:val="24"/>
        </w:rPr>
        <w:t xml:space="preserve"> and mission of the institution</w:t>
      </w:r>
      <w:r w:rsidRPr="002B3559">
        <w:rPr>
          <w:rFonts w:ascii="Bookman Old Style" w:hAnsi="Bookman Old Style"/>
          <w:b/>
          <w:sz w:val="24"/>
          <w:szCs w:val="24"/>
        </w:rPr>
        <w:t>.</w:t>
      </w:r>
    </w:p>
    <w:p w:rsidR="00FD1D36" w:rsidRPr="002B3559" w:rsidRDefault="00FD1D36" w:rsidP="00FD1D36">
      <w:pPr>
        <w:ind w:left="567" w:hanging="425"/>
        <w:rPr>
          <w:rFonts w:ascii="Bookman Old Style" w:hAnsi="Bookman Old Style"/>
          <w:b/>
          <w:sz w:val="24"/>
          <w:szCs w:val="24"/>
        </w:rPr>
      </w:pPr>
    </w:p>
    <w:p w:rsidR="00FD1D36" w:rsidRPr="002B3559" w:rsidRDefault="00FD1D36" w:rsidP="00FD1D36">
      <w:pP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FD1D36" w:rsidRPr="002B3559" w:rsidRDefault="00FD1D36" w:rsidP="00FD1D36">
      <w:pPr>
        <w:pStyle w:val="ListParagraph"/>
        <w:numPr>
          <w:ilvl w:val="0"/>
          <w:numId w:val="1"/>
        </w:numPr>
        <w:tabs>
          <w:tab w:val="left" w:pos="709"/>
        </w:tabs>
        <w:spacing w:before="240" w:after="240" w:line="360" w:lineRule="auto"/>
        <w:ind w:left="567" w:hanging="425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Nature of Governance</w:t>
      </w:r>
    </w:p>
    <w:p w:rsidR="00FD1D36" w:rsidRPr="002B3559" w:rsidRDefault="00FD1D36" w:rsidP="00FD1D36">
      <w:pPr>
        <w:pStyle w:val="ListParagraph"/>
        <w:numPr>
          <w:ilvl w:val="0"/>
          <w:numId w:val="2"/>
        </w:numPr>
        <w:tabs>
          <w:tab w:val="left" w:pos="709"/>
        </w:tabs>
        <w:spacing w:before="240" w:after="240" w:line="360" w:lineRule="auto"/>
        <w:ind w:left="1276" w:right="70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The College Management displays ethical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2B3559">
        <w:rPr>
          <w:rFonts w:ascii="Bookman Old Style" w:hAnsi="Bookman Old Style"/>
          <w:b/>
          <w:sz w:val="24"/>
          <w:szCs w:val="24"/>
        </w:rPr>
        <w:t>consensus-oriented, transparent and participatory style of governance.</w:t>
      </w:r>
    </w:p>
    <w:p w:rsidR="00FD1D36" w:rsidRPr="002B3559" w:rsidRDefault="00FD1D36" w:rsidP="00FD1D36">
      <w:pPr>
        <w:pStyle w:val="ListParagraph"/>
        <w:numPr>
          <w:ilvl w:val="0"/>
          <w:numId w:val="2"/>
        </w:numPr>
        <w:tabs>
          <w:tab w:val="left" w:pos="709"/>
        </w:tabs>
        <w:spacing w:before="240" w:after="240" w:line="360" w:lineRule="auto"/>
        <w:ind w:left="1276" w:right="70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</w:t>
      </w:r>
      <w:r w:rsidRPr="000B78FD">
        <w:rPr>
          <w:rFonts w:ascii="Bookman Old Style" w:hAnsi="Bookman Old Style"/>
          <w:b/>
          <w:sz w:val="24"/>
          <w:szCs w:val="24"/>
        </w:rPr>
        <w:t>Provincial</w:t>
      </w:r>
      <w:r w:rsidRPr="002B3559">
        <w:rPr>
          <w:rFonts w:ascii="Bookman Old Style" w:hAnsi="Bookman Old Style"/>
          <w:sz w:val="24"/>
          <w:szCs w:val="24"/>
        </w:rPr>
        <w:t xml:space="preserve"> is the Chairperson of the Governing Body. She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>ensures that the vision and mission of the college is at the core of all decisions made.</w:t>
      </w:r>
    </w:p>
    <w:p w:rsidR="00FD1D36" w:rsidRPr="002B3559" w:rsidRDefault="00FD1D36" w:rsidP="00FD1D36">
      <w:pPr>
        <w:pStyle w:val="ListParagraph"/>
        <w:numPr>
          <w:ilvl w:val="0"/>
          <w:numId w:val="2"/>
        </w:numPr>
        <w:tabs>
          <w:tab w:val="left" w:pos="709"/>
        </w:tabs>
        <w:spacing w:before="240" w:after="240" w:line="360" w:lineRule="auto"/>
        <w:ind w:left="1276" w:right="70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</w:t>
      </w:r>
      <w:r w:rsidRPr="000B78FD">
        <w:rPr>
          <w:rFonts w:ascii="Bookman Old Style" w:hAnsi="Bookman Old Style"/>
          <w:b/>
          <w:sz w:val="24"/>
          <w:szCs w:val="24"/>
        </w:rPr>
        <w:t>Secretary</w:t>
      </w:r>
      <w:r w:rsidRPr="002B3559">
        <w:rPr>
          <w:rFonts w:ascii="Bookman Old Style" w:hAnsi="Bookman Old Style"/>
          <w:sz w:val="24"/>
          <w:szCs w:val="24"/>
        </w:rPr>
        <w:t xml:space="preserve"> takes care of recruitments and employee engagement. The </w:t>
      </w:r>
      <w:r w:rsidRPr="000B78FD">
        <w:rPr>
          <w:rFonts w:ascii="Bookman Old Style" w:hAnsi="Bookman Old Style"/>
          <w:b/>
          <w:sz w:val="24"/>
          <w:szCs w:val="24"/>
        </w:rPr>
        <w:t>Principal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 xml:space="preserve">directs all academic, research and student-related activities. </w:t>
      </w:r>
    </w:p>
    <w:p w:rsidR="00FD1D36" w:rsidRPr="002B3559" w:rsidRDefault="00FD1D36" w:rsidP="00FD1D36">
      <w:pPr>
        <w:pStyle w:val="ListParagraph"/>
        <w:numPr>
          <w:ilvl w:val="0"/>
          <w:numId w:val="2"/>
        </w:numPr>
        <w:tabs>
          <w:tab w:val="left" w:pos="709"/>
        </w:tabs>
        <w:spacing w:before="240" w:after="240" w:line="360" w:lineRule="auto"/>
        <w:ind w:left="1276" w:right="70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Stakeholders are consulted on major developmental issues.</w:t>
      </w:r>
    </w:p>
    <w:p w:rsidR="00FD1D36" w:rsidRPr="002B3559" w:rsidRDefault="00FD1D36" w:rsidP="00FD1D36">
      <w:pPr>
        <w:pStyle w:val="ListParagraph"/>
        <w:numPr>
          <w:ilvl w:val="0"/>
          <w:numId w:val="1"/>
        </w:numPr>
        <w:tabs>
          <w:tab w:val="left" w:pos="709"/>
        </w:tabs>
        <w:spacing w:before="240" w:after="240" w:line="360" w:lineRule="auto"/>
        <w:ind w:left="567" w:hanging="425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Perspective Plans</w:t>
      </w:r>
    </w:p>
    <w:p w:rsidR="00FD1D36" w:rsidRDefault="00FD1D36" w:rsidP="00FD1D36">
      <w:pPr>
        <w:pStyle w:val="ListParagraph"/>
        <w:numPr>
          <w:ilvl w:val="0"/>
          <w:numId w:val="2"/>
        </w:numPr>
        <w:tabs>
          <w:tab w:val="left" w:pos="709"/>
        </w:tabs>
        <w:spacing w:before="240" w:after="240" w:line="360" w:lineRule="auto"/>
        <w:ind w:left="1276" w:right="70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4063B4">
        <w:rPr>
          <w:rFonts w:ascii="Bookman Old Style" w:hAnsi="Bookman Old Style"/>
          <w:b/>
          <w:sz w:val="24"/>
          <w:szCs w:val="24"/>
        </w:rPr>
        <w:t>Long-term and Short-term plans</w:t>
      </w:r>
      <w:r w:rsidRPr="004063B4">
        <w:rPr>
          <w:rFonts w:ascii="Bookman Old Style" w:hAnsi="Bookman Old Style"/>
          <w:sz w:val="24"/>
          <w:szCs w:val="24"/>
        </w:rPr>
        <w:t xml:space="preserve"> are drawn</w:t>
      </w:r>
      <w:r>
        <w:rPr>
          <w:rFonts w:ascii="Bookman Old Style" w:hAnsi="Bookman Old Style"/>
          <w:sz w:val="24"/>
          <w:szCs w:val="24"/>
        </w:rPr>
        <w:t xml:space="preserve"> up by the Management Committee.</w:t>
      </w:r>
    </w:p>
    <w:p w:rsidR="00FD1D36" w:rsidRPr="002B3559" w:rsidRDefault="00FD1D36" w:rsidP="00FD1D36">
      <w:pPr>
        <w:pStyle w:val="ListParagraph"/>
        <w:numPr>
          <w:ilvl w:val="0"/>
          <w:numId w:val="2"/>
        </w:numPr>
        <w:tabs>
          <w:tab w:val="left" w:pos="709"/>
        </w:tabs>
        <w:spacing w:before="240" w:after="240" w:line="360" w:lineRule="auto"/>
        <w:ind w:left="1276" w:right="70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IQAC ensures that quality is maintained on campus. </w:t>
      </w:r>
      <w:r>
        <w:rPr>
          <w:rFonts w:ascii="Bookman Old Style" w:hAnsi="Bookman Old Style"/>
          <w:sz w:val="24"/>
          <w:szCs w:val="24"/>
        </w:rPr>
        <w:t>S</w:t>
      </w:r>
      <w:r w:rsidRPr="002B3559">
        <w:rPr>
          <w:rFonts w:ascii="Bookman Old Style" w:hAnsi="Bookman Old Style"/>
          <w:sz w:val="24"/>
          <w:szCs w:val="24"/>
        </w:rPr>
        <w:t xml:space="preserve">igning of MoUs, orienting the young staff, organizing capacity building programmes, and ensuring the implementation of MHRD and UGC schemes are </w:t>
      </w:r>
      <w:r>
        <w:rPr>
          <w:rFonts w:ascii="Bookman Old Style" w:hAnsi="Bookman Old Style"/>
          <w:sz w:val="24"/>
          <w:szCs w:val="24"/>
        </w:rPr>
        <w:t>carried out.</w:t>
      </w:r>
    </w:p>
    <w:p w:rsidR="00FD1D36" w:rsidRPr="00F35E80" w:rsidRDefault="00FD1D36" w:rsidP="00FD1D36">
      <w:pPr>
        <w:tabs>
          <w:tab w:val="left" w:pos="709"/>
        </w:tabs>
        <w:spacing w:before="240" w:after="240" w:line="360" w:lineRule="auto"/>
        <w:ind w:left="567" w:right="706" w:hanging="425"/>
        <w:jc w:val="both"/>
        <w:rPr>
          <w:rFonts w:ascii="Bookman Old Style" w:hAnsi="Bookman Old Style"/>
          <w:sz w:val="24"/>
          <w:szCs w:val="24"/>
        </w:rPr>
      </w:pPr>
    </w:p>
    <w:p w:rsidR="00FD1D36" w:rsidRPr="002B3559" w:rsidRDefault="00FD1D36" w:rsidP="00FD1D36">
      <w:pPr>
        <w:pStyle w:val="ListParagraph"/>
        <w:numPr>
          <w:ilvl w:val="0"/>
          <w:numId w:val="1"/>
        </w:numPr>
        <w:tabs>
          <w:tab w:val="left" w:pos="709"/>
        </w:tabs>
        <w:spacing w:before="240" w:after="240" w:line="360" w:lineRule="auto"/>
        <w:ind w:left="567" w:hanging="425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lastRenderedPageBreak/>
        <w:t xml:space="preserve">Participation of Teachers </w:t>
      </w:r>
    </w:p>
    <w:p w:rsidR="00FD1D36" w:rsidRPr="00F97A91" w:rsidRDefault="00FD1D36" w:rsidP="00FD1D36">
      <w:pPr>
        <w:pStyle w:val="ListParagraph"/>
        <w:numPr>
          <w:ilvl w:val="0"/>
          <w:numId w:val="3"/>
        </w:numPr>
        <w:tabs>
          <w:tab w:val="left" w:pos="709"/>
        </w:tabs>
        <w:spacing w:before="240" w:after="240" w:line="360" w:lineRule="auto"/>
        <w:ind w:left="1276" w:hanging="425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F97A91">
        <w:rPr>
          <w:rFonts w:ascii="Bookman Old Style" w:hAnsi="Bookman Old Style"/>
          <w:b/>
          <w:sz w:val="24"/>
          <w:szCs w:val="24"/>
        </w:rPr>
        <w:t>Teachers are represented in all bodies to work in close collaboration with the Management.</w:t>
      </w:r>
    </w:p>
    <w:p w:rsidR="00FD1D36" w:rsidRPr="002B3559" w:rsidRDefault="00FD1D36" w:rsidP="00FD1D36">
      <w:pPr>
        <w:pStyle w:val="ListParagraph"/>
        <w:numPr>
          <w:ilvl w:val="0"/>
          <w:numId w:val="3"/>
        </w:numPr>
        <w:tabs>
          <w:tab w:val="left" w:pos="709"/>
        </w:tabs>
        <w:spacing w:before="240" w:after="240" w:line="360" w:lineRule="auto"/>
        <w:ind w:left="127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Unilateral decisions are not taken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FD1D36" w:rsidRPr="002B3559" w:rsidRDefault="00FD1D36" w:rsidP="00FD1D36">
      <w:pPr>
        <w:pStyle w:val="ListParagraph"/>
        <w:numPr>
          <w:ilvl w:val="0"/>
          <w:numId w:val="3"/>
        </w:numPr>
        <w:tabs>
          <w:tab w:val="left" w:pos="709"/>
        </w:tabs>
        <w:spacing w:before="240" w:after="240" w:line="360" w:lineRule="auto"/>
        <w:ind w:left="1276" w:hanging="42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General staff meetings</w:t>
      </w:r>
      <w:r w:rsidRPr="002B3559">
        <w:rPr>
          <w:rFonts w:ascii="Bookman Old Style" w:hAnsi="Bookman Old Style"/>
          <w:sz w:val="24"/>
          <w:szCs w:val="24"/>
        </w:rPr>
        <w:t xml:space="preserve"> are regularly scheduled. The Management seeks feedback from the staff which is collated, analysed and action is taken. </w:t>
      </w:r>
    </w:p>
    <w:p w:rsidR="00FD1D36" w:rsidRPr="00C96C18" w:rsidRDefault="00FD1D36" w:rsidP="00FD1D36">
      <w:pPr>
        <w:pStyle w:val="ListParagraph"/>
        <w:numPr>
          <w:ilvl w:val="0"/>
          <w:numId w:val="3"/>
        </w:numPr>
        <w:tabs>
          <w:tab w:val="left" w:pos="709"/>
        </w:tabs>
        <w:spacing w:before="240" w:after="240" w:line="360" w:lineRule="auto"/>
        <w:ind w:left="1276" w:hanging="425"/>
        <w:contextualSpacing w:val="0"/>
        <w:jc w:val="both"/>
        <w:rPr>
          <w:szCs w:val="24"/>
        </w:rPr>
      </w:pPr>
      <w:r w:rsidRPr="00C96C18">
        <w:rPr>
          <w:rFonts w:ascii="Bookman Old Style" w:hAnsi="Bookman Old Style"/>
          <w:sz w:val="24"/>
          <w:szCs w:val="24"/>
        </w:rPr>
        <w:t xml:space="preserve">The Grievance Committee redresses issues. </w:t>
      </w: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p w:rsidR="00EF30D4" w:rsidRDefault="00EF30D4" w:rsidP="00AD2E9B">
      <w:pPr>
        <w:jc w:val="center"/>
      </w:pPr>
    </w:p>
    <w:sectPr w:rsidR="00EF30D4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17" w:rsidRDefault="00C46D17" w:rsidP="00EF30D4">
      <w:pPr>
        <w:spacing w:after="0" w:line="240" w:lineRule="auto"/>
      </w:pPr>
      <w:r>
        <w:separator/>
      </w:r>
    </w:p>
  </w:endnote>
  <w:endnote w:type="continuationSeparator" w:id="1">
    <w:p w:rsidR="00C46D17" w:rsidRDefault="00C46D17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C05046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17" w:rsidRDefault="00C46D17" w:rsidP="00EF30D4">
      <w:pPr>
        <w:spacing w:after="0" w:line="240" w:lineRule="auto"/>
      </w:pPr>
      <w:r>
        <w:separator/>
      </w:r>
    </w:p>
  </w:footnote>
  <w:footnote w:type="continuationSeparator" w:id="1">
    <w:p w:rsidR="00C46D17" w:rsidRDefault="00C46D17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197725</wp:posOffset>
          </wp:positionH>
          <wp:positionV relativeFrom="paragraph">
            <wp:posOffset>-134270</wp:posOffset>
          </wp:positionV>
          <wp:extent cx="845689" cy="840828"/>
          <wp:effectExtent l="19050" t="0" r="0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689" cy="84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 </w:t>
    </w:r>
    <w:r>
      <w:rPr>
        <w:rFonts w:ascii="Calibri" w:hAnsi="Calibri" w:cs="Calibri"/>
        <w:b/>
        <w:bCs/>
        <w:i/>
        <w:iCs/>
        <w:color w:val="C00000"/>
        <w:sz w:val="20"/>
      </w:rPr>
      <w:t>(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CGPA 3.61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3407F4" w:rsidP="00EF30D4">
    <w:pPr>
      <w:jc w:val="center"/>
    </w:pPr>
    <w:r w:rsidRPr="003407F4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F0D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C7B612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540A03"/>
    <w:multiLevelType w:val="hybridMultilevel"/>
    <w:tmpl w:val="5734CB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2347E"/>
    <w:rsid w:val="00160556"/>
    <w:rsid w:val="00195357"/>
    <w:rsid w:val="0020373C"/>
    <w:rsid w:val="0021077B"/>
    <w:rsid w:val="0021087F"/>
    <w:rsid w:val="00324807"/>
    <w:rsid w:val="003407F4"/>
    <w:rsid w:val="00393F99"/>
    <w:rsid w:val="003C5B40"/>
    <w:rsid w:val="0052294F"/>
    <w:rsid w:val="00573DEB"/>
    <w:rsid w:val="005A7615"/>
    <w:rsid w:val="005F7048"/>
    <w:rsid w:val="00652695"/>
    <w:rsid w:val="006B4C98"/>
    <w:rsid w:val="007678B5"/>
    <w:rsid w:val="007E6D0A"/>
    <w:rsid w:val="008C54D6"/>
    <w:rsid w:val="009A558E"/>
    <w:rsid w:val="00A21BDE"/>
    <w:rsid w:val="00A96F2E"/>
    <w:rsid w:val="00AD2E9B"/>
    <w:rsid w:val="00B31627"/>
    <w:rsid w:val="00BC1E61"/>
    <w:rsid w:val="00C023D2"/>
    <w:rsid w:val="00C05046"/>
    <w:rsid w:val="00C229A7"/>
    <w:rsid w:val="00C46D17"/>
    <w:rsid w:val="00C5090D"/>
    <w:rsid w:val="00D22796"/>
    <w:rsid w:val="00DF30DE"/>
    <w:rsid w:val="00EA1BE6"/>
    <w:rsid w:val="00EF30D4"/>
    <w:rsid w:val="00FD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36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FD1D3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24</cp:revision>
  <cp:lastPrinted>2021-11-29T08:57:00Z</cp:lastPrinted>
  <dcterms:created xsi:type="dcterms:W3CDTF">2021-11-29T06:47:00Z</dcterms:created>
  <dcterms:modified xsi:type="dcterms:W3CDTF">2024-04-06T10:21:00Z</dcterms:modified>
</cp:coreProperties>
</file>