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892CA5" w14:textId="77777777" w:rsidR="004124F1" w:rsidRDefault="004124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F82AF8E" w14:textId="77777777" w:rsidR="004124F1" w:rsidRDefault="004124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395921B" w14:textId="77777777" w:rsidR="004124F1" w:rsidRDefault="004124F1"/>
    <w:p w14:paraId="31334759" w14:textId="5D08DCCC" w:rsidR="006F29AC" w:rsidRDefault="006F29AC" w:rsidP="006F29AC">
      <w:pPr>
        <w:pStyle w:val="NormalWeb"/>
        <w:spacing w:before="0" w:beforeAutospacing="0" w:after="0" w:afterAutospacing="0"/>
        <w:ind w:right="95"/>
      </w:pPr>
      <w:r>
        <w:rPr>
          <w:rFonts w:ascii="Bookman Old Style" w:hAnsi="Bookman Old Style"/>
          <w:b/>
          <w:bCs/>
          <w:color w:val="000000"/>
          <w:u w:val="single"/>
        </w:rPr>
        <w:t xml:space="preserve">4.4.2 </w:t>
      </w:r>
      <w:r>
        <w:rPr>
          <w:rFonts w:ascii="Bookman Old Style" w:hAnsi="Bookman Old Style"/>
          <w:b/>
          <w:bCs/>
          <w:i/>
          <w:iCs/>
          <w:color w:val="000000"/>
        </w:rPr>
        <w:t>There are established sy</w:t>
      </w:r>
      <w:r>
        <w:rPr>
          <w:rFonts w:ascii="Bookman Old Style" w:hAnsi="Bookman Old Style"/>
          <w:b/>
          <w:bCs/>
          <w:i/>
          <w:iCs/>
          <w:color w:val="000000"/>
        </w:rPr>
        <w:t>stem</w:t>
      </w:r>
      <w:r>
        <w:rPr>
          <w:rFonts w:ascii="Bookman Old Style" w:hAnsi="Bookman Old Style"/>
          <w:b/>
          <w:bCs/>
          <w:i/>
          <w:iCs/>
          <w:color w:val="000000"/>
        </w:rPr>
        <w:t>s and procedures for maintaining and utilizing physical, academic and support facilities – classrooms, laboratory, library, sports complex, computers, etc.</w:t>
      </w:r>
    </w:p>
    <w:p w14:paraId="785E6CDC" w14:textId="77777777" w:rsidR="004124F1" w:rsidRDefault="004124F1">
      <w:pPr>
        <w:tabs>
          <w:tab w:val="left" w:pos="1050"/>
        </w:tabs>
        <w:ind w:left="-567"/>
        <w:rPr>
          <w:rFonts w:ascii="Amaranth" w:eastAsia="Amaranth" w:hAnsi="Amaranth" w:cs="Amaranth"/>
          <w:color w:val="C00000"/>
          <w:sz w:val="2"/>
          <w:szCs w:val="2"/>
        </w:rPr>
      </w:pPr>
    </w:p>
    <w:tbl>
      <w:tblPr>
        <w:tblStyle w:val="a0"/>
        <w:tblW w:w="719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3"/>
        <w:gridCol w:w="4592"/>
        <w:gridCol w:w="1701"/>
      </w:tblGrid>
      <w:tr w:rsidR="004124F1" w14:paraId="57A0A875" w14:textId="77777777">
        <w:trPr>
          <w:cantSplit/>
          <w:tblHeader/>
          <w:jc w:val="center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vAlign w:val="center"/>
          </w:tcPr>
          <w:p w14:paraId="598327AF" w14:textId="77777777" w:rsidR="004124F1" w:rsidRDefault="00000000">
            <w:pPr>
              <w:spacing w:before="60" w:after="60"/>
              <w:jc w:val="center"/>
              <w:rPr>
                <w:rFonts w:ascii="Amaranth" w:eastAsia="Amaranth" w:hAnsi="Amaranth" w:cs="Amaranth"/>
                <w:color w:val="FFFFFF"/>
                <w:sz w:val="28"/>
                <w:szCs w:val="28"/>
              </w:rPr>
            </w:pPr>
            <w:r>
              <w:rPr>
                <w:rFonts w:ascii="Amaranth" w:eastAsia="Amaranth" w:hAnsi="Amaranth" w:cs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vAlign w:val="center"/>
          </w:tcPr>
          <w:p w14:paraId="179656D8" w14:textId="77777777" w:rsidR="004124F1" w:rsidRDefault="00000000">
            <w:pPr>
              <w:spacing w:before="60" w:after="60"/>
              <w:jc w:val="center"/>
              <w:rPr>
                <w:rFonts w:ascii="Amaranth" w:eastAsia="Amaranth" w:hAnsi="Amaranth" w:cs="Amaranth"/>
                <w:color w:val="FFFFFF"/>
                <w:sz w:val="28"/>
                <w:szCs w:val="28"/>
              </w:rPr>
            </w:pPr>
            <w:r>
              <w:rPr>
                <w:rFonts w:ascii="Amaranth" w:eastAsia="Amaranth" w:hAnsi="Amaranth" w:cs="Amaranth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vAlign w:val="center"/>
          </w:tcPr>
          <w:p w14:paraId="7D8E5004" w14:textId="77777777" w:rsidR="004124F1" w:rsidRDefault="00000000">
            <w:pPr>
              <w:spacing w:before="60" w:after="60"/>
              <w:jc w:val="center"/>
              <w:rPr>
                <w:rFonts w:ascii="Amaranth" w:eastAsia="Amaranth" w:hAnsi="Amaranth" w:cs="Amaranth"/>
                <w:color w:val="FFFFFF"/>
                <w:sz w:val="28"/>
                <w:szCs w:val="28"/>
              </w:rPr>
            </w:pPr>
            <w:r>
              <w:rPr>
                <w:rFonts w:ascii="Amaranth" w:eastAsia="Amaranth" w:hAnsi="Amaranth" w:cs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4124F1" w14:paraId="31004327" w14:textId="77777777">
        <w:trPr>
          <w:cantSplit/>
          <w:tblHeader/>
          <w:jc w:val="center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6B65D9" w14:textId="77777777" w:rsidR="004124F1" w:rsidRDefault="00000000">
            <w:pPr>
              <w:spacing w:before="120" w:after="120" w:line="240" w:lineRule="auto"/>
              <w:ind w:left="513" w:hanging="360"/>
              <w:jc w:val="center"/>
              <w:rPr>
                <w:rFonts w:ascii="Amaranth" w:eastAsia="Amaranth" w:hAnsi="Amaranth" w:cs="Amaranth"/>
                <w:color w:val="003399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color w:val="003399"/>
                <w:sz w:val="24"/>
                <w:szCs w:val="24"/>
              </w:rPr>
              <w:t>1.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2F0B67" w14:textId="7D43F188" w:rsidR="004124F1" w:rsidRDefault="00000000">
            <w:pPr>
              <w:spacing w:before="120" w:after="120" w:line="240" w:lineRule="auto"/>
              <w:rPr>
                <w:rFonts w:ascii="Amaranth" w:eastAsia="Amaranth" w:hAnsi="Amaranth" w:cs="Amaranth"/>
                <w:color w:val="003399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color w:val="003399"/>
                <w:sz w:val="24"/>
                <w:szCs w:val="24"/>
              </w:rPr>
              <w:t xml:space="preserve">  </w:t>
            </w:r>
            <w:r w:rsidR="006F29AC">
              <w:rPr>
                <w:rFonts w:ascii="Bookman Old Style" w:hAnsi="Bookman Old Style"/>
                <w:b/>
                <w:bCs/>
                <w:i/>
                <w:iCs/>
                <w:color w:val="000000"/>
              </w:rPr>
              <w:t>P</w:t>
            </w:r>
            <w:r w:rsidR="006F29AC">
              <w:rPr>
                <w:rFonts w:ascii="Bookman Old Style" w:hAnsi="Bookman Old Style"/>
                <w:b/>
                <w:bCs/>
                <w:i/>
                <w:iCs/>
                <w:color w:val="000000"/>
              </w:rPr>
              <w:t>hysical, academic and support facilities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D53286" w14:textId="77777777" w:rsidR="004124F1" w:rsidRDefault="00000000">
            <w:pPr>
              <w:spacing w:before="60" w:after="60"/>
              <w:jc w:val="center"/>
              <w:rPr>
                <w:rFonts w:ascii="Amaranth" w:eastAsia="Amaranth" w:hAnsi="Amaranth" w:cs="Amaranth"/>
                <w:sz w:val="24"/>
                <w:szCs w:val="24"/>
              </w:rPr>
            </w:pPr>
            <w:r>
              <w:rPr>
                <w:rFonts w:ascii="Amaranth" w:eastAsia="Amaranth" w:hAnsi="Amaranth" w:cs="Amaranth"/>
                <w:noProof/>
                <w:sz w:val="24"/>
                <w:szCs w:val="24"/>
              </w:rPr>
              <w:drawing>
                <wp:inline distT="0" distB="0" distL="0" distR="0" wp14:anchorId="3D9E6A37" wp14:editId="3BB096B3">
                  <wp:extent cx="428625" cy="447675"/>
                  <wp:effectExtent l="0" t="0" r="9525" b="9525"/>
                  <wp:docPr id="16" name="image1.jpg">
                    <a:hlinkClick xmlns:a="http://schemas.openxmlformats.org/drawingml/2006/main" r:id="rId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jpg">
                            <a:hlinkClick r:id="rId7"/>
                          </pic:cNvPr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EE502" w14:textId="77777777" w:rsidR="004124F1" w:rsidRDefault="004124F1">
      <w:pPr>
        <w:rPr>
          <w:rFonts w:ascii="Amaranth" w:eastAsia="Amaranth" w:hAnsi="Amaranth" w:cs="Amaranth"/>
          <w:color w:val="C00000"/>
          <w:sz w:val="28"/>
          <w:szCs w:val="28"/>
        </w:rPr>
      </w:pPr>
    </w:p>
    <w:p w14:paraId="53947204" w14:textId="77777777" w:rsidR="004124F1" w:rsidRDefault="004124F1">
      <w:pPr>
        <w:rPr>
          <w:rFonts w:ascii="Cambria Math" w:eastAsia="Cambria Math" w:hAnsi="Cambria Math" w:cs="Cambria Math"/>
          <w:b/>
          <w:color w:val="C00000"/>
          <w:sz w:val="28"/>
          <w:szCs w:val="28"/>
        </w:rPr>
      </w:pPr>
    </w:p>
    <w:p w14:paraId="00E6D9B3" w14:textId="77777777" w:rsidR="004124F1" w:rsidRDefault="004124F1"/>
    <w:p w14:paraId="333A5E20" w14:textId="77777777" w:rsidR="004124F1" w:rsidRDefault="004124F1"/>
    <w:p w14:paraId="6139D102" w14:textId="77777777" w:rsidR="004124F1" w:rsidRDefault="004124F1"/>
    <w:p w14:paraId="021427D6" w14:textId="77777777" w:rsidR="004124F1" w:rsidRDefault="004124F1"/>
    <w:p w14:paraId="5A490054" w14:textId="77777777" w:rsidR="004124F1" w:rsidRDefault="004124F1">
      <w:pPr>
        <w:spacing w:after="360"/>
        <w:rPr>
          <w:rFonts w:ascii="Amaranth" w:eastAsia="Amaranth" w:hAnsi="Amaranth" w:cs="Amaranth"/>
          <w:color w:val="C00000"/>
          <w:sz w:val="30"/>
          <w:szCs w:val="30"/>
        </w:rPr>
      </w:pPr>
    </w:p>
    <w:sectPr w:rsidR="004124F1">
      <w:headerReference w:type="default" r:id="rId9"/>
      <w:footerReference w:type="default" r:id="rId10"/>
      <w:pgSz w:w="11906" w:h="16838"/>
      <w:pgMar w:top="1716" w:right="1440" w:bottom="1440" w:left="1440" w:header="56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C44935" w14:textId="77777777" w:rsidR="001B1ED8" w:rsidRDefault="001B1ED8">
      <w:pPr>
        <w:spacing w:after="0" w:line="240" w:lineRule="auto"/>
      </w:pPr>
      <w:r>
        <w:separator/>
      </w:r>
    </w:p>
  </w:endnote>
  <w:endnote w:type="continuationSeparator" w:id="0">
    <w:p w14:paraId="69BC63A1" w14:textId="77777777" w:rsidR="001B1ED8" w:rsidRDefault="001B1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1A8BCE-B057-4867-A4A0-0012F426D54A}"/>
    <w:embedBold r:id="rId2" w:fontKey="{21AAC85E-3A54-4970-A52A-A9081BDC488D}"/>
    <w:embedBoldItalic r:id="rId3" w:fontKey="{768AFEA0-38E2-4222-997C-6B2CA0C827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B614C10-F181-4F80-B37B-778BDFF92B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41500B7-6604-49C9-919B-9D514FCB5B81}"/>
    <w:embedItalic r:id="rId6" w:fontKey="{87C4F048-463E-4009-AAD1-46864120761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7" w:fontKey="{CF771559-142D-4F79-A026-CEB625AB6170}"/>
    <w:embedBoldItalic r:id="rId8" w:fontKey="{FACC1A67-3BFD-4CD0-8729-F7787351707E}"/>
  </w:font>
  <w:font w:name="Amaranth">
    <w:altName w:val="Calibri"/>
    <w:charset w:val="00"/>
    <w:family w:val="auto"/>
    <w:pitch w:val="variable"/>
    <w:sig w:usb0="00000001" w:usb1="00000043" w:usb2="00000000" w:usb3="00000000" w:csb0="00000111" w:csb1="00000000"/>
    <w:embedRegular r:id="rId9" w:fontKey="{A31D0C3D-A8C8-489E-A7AB-02D2FFB34412}"/>
    <w:embedBold r:id="rId10" w:fontKey="{A9BF1EF2-278B-4693-AEE2-546BEF4D2A7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BDCC132-3991-474B-BE59-B9C993CF5C70}"/>
    <w:embedBold r:id="rId12" w:fontKey="{D4F57695-9EAB-41DC-8106-CDBFA1C9E4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B416EE85-EF2F-4DA4-AEAF-FE2AD79BE4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6E2BF" w14:textId="15144A69" w:rsidR="004124F1" w:rsidRDefault="00000000">
    <w:pPr>
      <w:pBdr>
        <w:top w:val="single" w:sz="24" w:space="1" w:color="823B0B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b/>
        <w:color w:val="0D0D0D"/>
        <w:sz w:val="20"/>
        <w:szCs w:val="20"/>
      </w:rPr>
      <w:t>Annual Quality Assurance Report (AQAR) (202</w:t>
    </w:r>
    <w:r w:rsidR="00431D41">
      <w:rPr>
        <w:b/>
        <w:color w:val="0D0D0D"/>
        <w:sz w:val="20"/>
        <w:szCs w:val="20"/>
      </w:rPr>
      <w:t>2</w:t>
    </w:r>
    <w:r>
      <w:rPr>
        <w:b/>
        <w:color w:val="0D0D0D"/>
        <w:sz w:val="20"/>
        <w:szCs w:val="20"/>
      </w:rPr>
      <w:t xml:space="preserve"> - 202</w:t>
    </w:r>
    <w:r w:rsidR="00431D41">
      <w:rPr>
        <w:b/>
        <w:color w:val="0D0D0D"/>
        <w:sz w:val="20"/>
        <w:szCs w:val="20"/>
      </w:rPr>
      <w:t>3</w:t>
    </w:r>
    <w:r>
      <w:rPr>
        <w:b/>
        <w:color w:val="0D0D0D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6EEBA2" w14:textId="77777777" w:rsidR="001B1ED8" w:rsidRDefault="001B1ED8">
      <w:pPr>
        <w:spacing w:after="0" w:line="240" w:lineRule="auto"/>
      </w:pPr>
      <w:r>
        <w:separator/>
      </w:r>
    </w:p>
  </w:footnote>
  <w:footnote w:type="continuationSeparator" w:id="0">
    <w:p w14:paraId="5E48480D" w14:textId="77777777" w:rsidR="001B1ED8" w:rsidRDefault="001B1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83FC9" w14:textId="77777777" w:rsidR="004124F1" w:rsidRDefault="00000000">
    <w:pPr>
      <w:spacing w:after="0" w:line="240" w:lineRule="auto"/>
      <w:jc w:val="center"/>
      <w:rPr>
        <w:rFonts w:ascii="Amaranth" w:eastAsia="Amaranth" w:hAnsi="Amaranth" w:cs="Amaranth"/>
        <w:color w:val="003399"/>
        <w:sz w:val="20"/>
        <w:szCs w:val="20"/>
      </w:rPr>
    </w:pPr>
    <w:r>
      <w:rPr>
        <w:b/>
        <w:smallCaps/>
        <w:color w:val="003399"/>
        <w:sz w:val="48"/>
        <w:szCs w:val="48"/>
      </w:rPr>
      <w:pict w14:anchorId="6C265A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383.85pt;height:382.7pt;z-index:-251658240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  <w:r>
      <w:rPr>
        <w:b/>
        <w:smallCaps/>
        <w:color w:val="003399"/>
        <w:sz w:val="48"/>
        <w:szCs w:val="48"/>
      </w:rPr>
      <w:t xml:space="preserve">Fatima College </w:t>
    </w:r>
    <w:r>
      <w:rPr>
        <w:rFonts w:ascii="Amaranth" w:eastAsia="Amaranth" w:hAnsi="Amaranth" w:cs="Amaranth"/>
        <w:b/>
        <w:color w:val="003399"/>
        <w:sz w:val="38"/>
        <w:szCs w:val="38"/>
      </w:rPr>
      <w:br/>
    </w:r>
    <w:r>
      <w:rPr>
        <w:rFonts w:ascii="Amaranth" w:eastAsia="Amaranth" w:hAnsi="Amaranth" w:cs="Amaranth"/>
        <w:color w:val="003399"/>
        <w:sz w:val="20"/>
        <w:szCs w:val="20"/>
      </w:rPr>
      <w:t>(Autonomous)</w:t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16687965" wp14:editId="4105D129">
          <wp:simplePos x="0" y="0"/>
          <wp:positionH relativeFrom="column">
            <wp:posOffset>-38098</wp:posOffset>
          </wp:positionH>
          <wp:positionV relativeFrom="paragraph">
            <wp:posOffset>73660</wp:posOffset>
          </wp:positionV>
          <wp:extent cx="1063625" cy="1057275"/>
          <wp:effectExtent l="0" t="0" r="0" b="0"/>
          <wp:wrapNone/>
          <wp:docPr id="1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9405F9" w14:textId="77777777" w:rsidR="004124F1" w:rsidRDefault="00000000">
    <w:pPr>
      <w:spacing w:before="60" w:after="0" w:line="240" w:lineRule="auto"/>
      <w:jc w:val="center"/>
    </w:pPr>
    <w:r>
      <w:rPr>
        <w:b/>
        <w:i/>
        <w:color w:val="C00000"/>
        <w:sz w:val="20"/>
        <w:szCs w:val="20"/>
      </w:rPr>
      <w:t>Affiliated to Madurai Kamaraj University</w:t>
    </w:r>
    <w:r>
      <w:rPr>
        <w:b/>
        <w:i/>
        <w:color w:val="C00000"/>
        <w:sz w:val="20"/>
        <w:szCs w:val="20"/>
      </w:rPr>
      <w:br/>
      <w:t>Re-Accredited with ‘A++’ by NAAC (Cycle - IV)</w:t>
    </w:r>
    <w:r>
      <w:rPr>
        <w:b/>
        <w:i/>
        <w:color w:val="C00000"/>
        <w:sz w:val="20"/>
        <w:szCs w:val="20"/>
      </w:rPr>
      <w:br/>
    </w:r>
    <w:r>
      <w:rPr>
        <w:b/>
        <w:color w:val="003399"/>
        <w:sz w:val="20"/>
        <w:szCs w:val="20"/>
      </w:rPr>
      <w:t>Mary Land, Madurai - 625018, Tamil Nadu</w:t>
    </w:r>
  </w:p>
  <w:p w14:paraId="3BB5CFFD" w14:textId="77777777" w:rsidR="004124F1" w:rsidRDefault="004124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4F1"/>
    <w:rsid w:val="001B1ED8"/>
    <w:rsid w:val="004124F1"/>
    <w:rsid w:val="00431D41"/>
    <w:rsid w:val="006F29AC"/>
    <w:rsid w:val="0070713B"/>
    <w:rsid w:val="00B2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75E7E4"/>
  <w15:docId w15:val="{C46BC2BC-BA16-48A4-8F2F-00611BB13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cs="Times New Roman"/>
    </w:rPr>
  </w:style>
  <w:style w:type="paragraph" w:styleId="Heading1">
    <w:name w:val="heading 1"/>
    <w:basedOn w:val="Normal1"/>
    <w:next w:val="Normal1"/>
    <w:uiPriority w:val="9"/>
    <w:qFormat/>
    <w:rsid w:val="00A24BB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rsid w:val="00A24B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A24BB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A24BB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A24BB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A24BB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A24BB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A24BB1"/>
  </w:style>
  <w:style w:type="paragraph" w:styleId="NormalWeb">
    <w:name w:val="Normal (Web)"/>
    <w:basedOn w:val="Normal"/>
    <w:uiPriority w:val="99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24BB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92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://www.fatimacollegemdu.org/AQAR/C-36529/2022-2023/C4-QLM/442/442SupportiveDocuments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Kk7j7+KY1CuEowGdSyrI1zp6fhA==">AMUW2mUv7YrWd4PM0+1HW8545MEuaF68g3PQzq3/UoFsZfebE1x/vlk8rpjMk+DQVmWFOdw9//AxP0h26xanFxHmJij5p5DxeC0aSjcQbNBWIfqzbvQDqKo=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MEENAKSHI SUNDARI PALANIAPPAN</cp:lastModifiedBy>
  <cp:revision>3</cp:revision>
  <dcterms:created xsi:type="dcterms:W3CDTF">2024-05-06T12:12:00Z</dcterms:created>
  <dcterms:modified xsi:type="dcterms:W3CDTF">2024-05-06T12:15:00Z</dcterms:modified>
</cp:coreProperties>
</file>