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7E" w:rsidRDefault="00435F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35F7E" w:rsidRDefault="00435F7E"/>
    <w:p w:rsidR="00435F7E" w:rsidRDefault="00435F7E">
      <w:pPr>
        <w:ind w:right="565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35F7E" w:rsidRDefault="00256428" w:rsidP="00022F66">
      <w:pPr>
        <w:spacing w:after="0" w:line="240" w:lineRule="auto"/>
        <w:ind w:left="1440" w:right="567" w:hanging="870"/>
        <w:jc w:val="both"/>
        <w:rPr>
          <w:rFonts w:ascii="Cambria Math" w:eastAsia="Cambria Math" w:hAnsi="Cambria Math" w:cs="Cambria Math"/>
          <w:b/>
          <w:color w:val="C00000"/>
          <w:sz w:val="28"/>
          <w:szCs w:val="28"/>
        </w:rPr>
      </w:pPr>
      <w:r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  <w:t>4.1.3 </w:t>
      </w:r>
      <w:r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  <w:tab/>
      </w:r>
      <w:r>
        <w:rPr>
          <w:rFonts w:ascii="Cambria Math" w:eastAsia="Cambria Math" w:hAnsi="Cambria Math" w:cs="Cambria Math"/>
          <w:b/>
          <w:color w:val="C00000"/>
          <w:sz w:val="28"/>
          <w:szCs w:val="28"/>
        </w:rPr>
        <w:t>Percentage of classrooms and seminar halls with ICT – enabled facilities such as smart class, LMS, etc. (Data for the latest completed academic year)</w:t>
      </w:r>
    </w:p>
    <w:p w:rsidR="00435F7E" w:rsidRDefault="00256428" w:rsidP="00022F66">
      <w:pPr>
        <w:spacing w:after="0" w:line="240" w:lineRule="auto"/>
        <w:ind w:right="567" w:firstLine="570"/>
        <w:jc w:val="both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  <w:r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  <w:t>4.1.3.1: Number of classrooms and seminar halls with ICT facilities</w:t>
      </w:r>
    </w:p>
    <w:p w:rsidR="00435F7E" w:rsidRDefault="00435F7E">
      <w:pPr>
        <w:spacing w:after="0" w:line="360" w:lineRule="auto"/>
        <w:ind w:left="1440" w:right="567"/>
        <w:jc w:val="both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</w:p>
    <w:p w:rsidR="00435F7E" w:rsidRDefault="00435F7E">
      <w:pPr>
        <w:spacing w:after="0" w:line="360" w:lineRule="auto"/>
        <w:ind w:left="1440" w:right="567"/>
        <w:jc w:val="both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</w:p>
    <w:tbl>
      <w:tblPr>
        <w:tblStyle w:val="a"/>
        <w:tblW w:w="95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245"/>
        <w:gridCol w:w="4573"/>
        <w:gridCol w:w="3686"/>
      </w:tblGrid>
      <w:tr w:rsidR="00435F7E">
        <w:trPr>
          <w:cantSplit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435F7E" w:rsidRDefault="00256428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</w:pPr>
            <w:r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  <w:t>S.No.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435F7E" w:rsidRDefault="00256428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</w:pPr>
            <w:r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</w:rPr>
              <w:t>Data Requirement as per SOP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435F7E" w:rsidRDefault="00256428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</w:pPr>
            <w:r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  <w:t>Reference Link</w:t>
            </w:r>
          </w:p>
        </w:tc>
      </w:tr>
      <w:tr w:rsidR="00435F7E">
        <w:trPr>
          <w:cantSplit/>
          <w:trHeight w:val="750"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1.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 xml:space="preserve"> Master Time Table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28625" cy="428625"/>
                  <wp:effectExtent l="0" t="0" r="0" b="0"/>
                  <wp:docPr id="22" name="image1.png" descr="https://www.fatimacollegemdu.org/NAAC-IV-CYCLE/C-36529/images/pdf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fatimacollegemdu.org/NAAC-IV-CYCLE/C-36529/images/pdfnew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 </w:t>
            </w:r>
          </w:p>
        </w:tc>
      </w:tr>
      <w:tr w:rsidR="00435F7E">
        <w:trPr>
          <w:cantSplit/>
          <w:trHeight w:val="750"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2.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 xml:space="preserve"> College Layout &amp;</w:t>
            </w: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br/>
              <w:t xml:space="preserve"> Geo Tagged Photos of Seminar Halls and Classrooms with</w:t>
            </w: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br/>
              <w:t xml:space="preserve"> LCD / WiFi/LAN facilities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28625" cy="428625"/>
                  <wp:effectExtent l="0" t="0" r="0" b="0"/>
                  <wp:docPr id="24" name="image1.png" descr="https://www.fatimacollegemdu.org/NAAC-IV-CYCLE/C-36529/images/pdf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fatimacollegemdu.org/NAAC-IV-CYCLE/C-36529/images/pdfnew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 </w:t>
            </w:r>
          </w:p>
        </w:tc>
      </w:tr>
      <w:tr w:rsidR="00435F7E">
        <w:trPr>
          <w:cantSplit/>
          <w:trHeight w:val="750"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3.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 xml:space="preserve"> Wi-Fi Points (Sample Geo tagged Photos)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28625" cy="428625"/>
                  <wp:effectExtent l="0" t="0" r="0" b="0"/>
                  <wp:docPr id="23" name="image1.png" descr="https://www.fatimacollegemdu.org/NAAC-IV-CYCLE/C-36529/images/pdf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fatimacollegemdu.org/NAAC-IV-CYCLE/C-36529/images/pdfnew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 </w:t>
            </w:r>
          </w:p>
        </w:tc>
      </w:tr>
      <w:tr w:rsidR="00435F7E">
        <w:trPr>
          <w:cantSplit/>
          <w:trHeight w:val="750"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4.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 xml:space="preserve"> LMS Tools usage (Sample Screenshots)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28625" cy="428625"/>
                  <wp:effectExtent l="0" t="0" r="0" b="0"/>
                  <wp:docPr id="26" name="image1.png" descr="https://www.fatimacollegemdu.org/NAAC-IV-CYCLE/C-36529/images/pdf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fatimacollegemdu.org/NAAC-IV-CYCLE/C-36529/images/pdfnew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 </w:t>
            </w:r>
          </w:p>
        </w:tc>
      </w:tr>
      <w:tr w:rsidR="00435F7E">
        <w:trPr>
          <w:cantSplit/>
          <w:trHeight w:val="750"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5.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 xml:space="preserve"> LAN Facilities (Switches used for Networking)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F7E" w:rsidRDefault="00256428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28625" cy="428625"/>
                  <wp:effectExtent l="0" t="0" r="0" b="0"/>
                  <wp:docPr id="25" name="image1.png" descr="https://www.fatimacollegemdu.org/NAAC-IV-CYCLE/C-36529/images/pdf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fatimacollegemdu.org/NAAC-IV-CYCLE/C-36529/images/pdfnew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F7E" w:rsidRDefault="00435F7E">
      <w:pPr>
        <w:spacing w:after="0" w:line="360" w:lineRule="auto"/>
        <w:ind w:left="1440" w:right="567"/>
        <w:jc w:val="both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</w:p>
    <w:p w:rsidR="00435F7E" w:rsidRDefault="00256428">
      <w:pPr>
        <w:spacing w:after="0" w:line="360" w:lineRule="auto"/>
        <w:ind w:left="1440" w:right="567"/>
        <w:rPr>
          <w:rFonts w:ascii="Cambria Math" w:eastAsia="Cambria Math" w:hAnsi="Cambria Math" w:cs="Cambria Math"/>
          <w:b/>
          <w:color w:val="0000FF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0000FF"/>
          <w:sz w:val="24"/>
          <w:szCs w:val="24"/>
        </w:rPr>
        <w:t>Total Number of Classrooms and Halls with ICT facilities      = 77</w:t>
      </w:r>
      <w:r>
        <w:rPr>
          <w:rFonts w:ascii="Cambria Math" w:eastAsia="Cambria Math" w:hAnsi="Cambria Math" w:cs="Cambria Math"/>
          <w:b/>
          <w:color w:val="0000FF"/>
          <w:sz w:val="24"/>
          <w:szCs w:val="24"/>
        </w:rPr>
        <w:br/>
        <w:t>Total Number of Classrooms and Halls</w:t>
      </w:r>
      <w:r>
        <w:rPr>
          <w:rFonts w:ascii="Cambria Math" w:eastAsia="Cambria Math" w:hAnsi="Cambria Math" w:cs="Cambria Math"/>
          <w:b/>
          <w:color w:val="0000FF"/>
        </w:rPr>
        <w:t xml:space="preserve">                                            </w:t>
      </w:r>
      <w:r>
        <w:rPr>
          <w:rFonts w:ascii="Cambria Math" w:eastAsia="Cambria Math" w:hAnsi="Cambria Math" w:cs="Cambria Math"/>
          <w:b/>
          <w:color w:val="0000FF"/>
          <w:sz w:val="24"/>
          <w:szCs w:val="24"/>
        </w:rPr>
        <w:t xml:space="preserve"> =77</w:t>
      </w:r>
    </w:p>
    <w:p w:rsidR="00435F7E" w:rsidRDefault="00256428">
      <w:pPr>
        <w:spacing w:after="0" w:line="360" w:lineRule="auto"/>
        <w:ind w:left="1440" w:right="567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  <w:r>
        <w:rPr>
          <w:rFonts w:ascii="Cambria Math" w:eastAsia="Cambria Math" w:hAnsi="Cambria Math" w:cs="Cambria Math"/>
          <w:b/>
          <w:i/>
          <w:color w:val="0000FF"/>
          <w:sz w:val="24"/>
          <w:szCs w:val="24"/>
        </w:rPr>
        <w:t>Percentage of classrooms and seminar halls with ICT –</w:t>
      </w:r>
      <w:r>
        <w:rPr>
          <w:rFonts w:ascii="Cambria Math" w:eastAsia="Cambria Math" w:hAnsi="Cambria Math" w:cs="Cambria Math"/>
          <w:b/>
          <w:color w:val="0000FF"/>
          <w:sz w:val="24"/>
          <w:szCs w:val="24"/>
        </w:rPr>
        <w:br/>
      </w:r>
      <w:r>
        <w:rPr>
          <w:rFonts w:ascii="Cambria Math" w:eastAsia="Cambria Math" w:hAnsi="Cambria Math" w:cs="Cambria Math"/>
          <w:b/>
          <w:i/>
          <w:color w:val="0000FF"/>
          <w:sz w:val="24"/>
          <w:szCs w:val="24"/>
        </w:rPr>
        <w:t>enabled facilities such as smart class, LMS, etc.              </w:t>
      </w:r>
      <w:r>
        <w:rPr>
          <w:rFonts w:ascii="Cambria Math" w:eastAsia="Cambria Math" w:hAnsi="Cambria Math" w:cs="Cambria Math"/>
          <w:b/>
          <w:i/>
          <w:color w:val="0000FF"/>
        </w:rPr>
        <w:t xml:space="preserve">           </w:t>
      </w:r>
      <w:r>
        <w:rPr>
          <w:rFonts w:ascii="Cambria Math" w:eastAsia="Cambria Math" w:hAnsi="Cambria Math" w:cs="Cambria Math"/>
          <w:b/>
          <w:i/>
          <w:color w:val="0000FF"/>
          <w:sz w:val="24"/>
          <w:szCs w:val="24"/>
        </w:rPr>
        <w:t xml:space="preserve"> = 77/77 *100</w:t>
      </w:r>
      <w:r>
        <w:rPr>
          <w:rFonts w:ascii="Cambria Math" w:eastAsia="Cambria Math" w:hAnsi="Cambria Math" w:cs="Cambria Math"/>
          <w:b/>
          <w:color w:val="0000FF"/>
          <w:sz w:val="24"/>
          <w:szCs w:val="24"/>
        </w:rPr>
        <w:br/>
      </w:r>
      <w:r>
        <w:rPr>
          <w:rFonts w:ascii="Cambria Math" w:eastAsia="Cambria Math" w:hAnsi="Cambria Math" w:cs="Cambria Math"/>
          <w:b/>
          <w:i/>
          <w:color w:val="0000FF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  <w:r>
        <w:rPr>
          <w:rFonts w:ascii="Cambria Math" w:eastAsia="Cambria Math" w:hAnsi="Cambria Math" w:cs="Cambria Math"/>
          <w:b/>
          <w:i/>
          <w:color w:val="0000FF"/>
        </w:rPr>
        <w:t xml:space="preserve">                    </w:t>
      </w:r>
      <w:r>
        <w:rPr>
          <w:rFonts w:ascii="Cambria Math" w:eastAsia="Cambria Math" w:hAnsi="Cambria Math" w:cs="Cambria Math"/>
          <w:b/>
          <w:i/>
          <w:color w:val="0000FF"/>
          <w:sz w:val="24"/>
          <w:szCs w:val="24"/>
        </w:rPr>
        <w:t>= 100%</w:t>
      </w:r>
    </w:p>
    <w:sectPr w:rsidR="00435F7E" w:rsidSect="00435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56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1A" w:rsidRDefault="00A4291A" w:rsidP="00435F7E">
      <w:pPr>
        <w:spacing w:after="0" w:line="240" w:lineRule="auto"/>
      </w:pPr>
      <w:r>
        <w:separator/>
      </w:r>
    </w:p>
  </w:endnote>
  <w:endnote w:type="continuationSeparator" w:id="1">
    <w:p w:rsidR="00A4291A" w:rsidRDefault="00A4291A" w:rsidP="0043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maranth">
    <w:altName w:val="Heavy Heap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2" w:rsidRDefault="002244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7E" w:rsidRDefault="00256428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D0D0D"/>
        <w:sz w:val="20"/>
        <w:szCs w:val="20"/>
      </w:rPr>
      <w:t>Annual Quality Assurance Report (AQAR) (202</w:t>
    </w:r>
    <w:r w:rsidR="00A524B1">
      <w:rPr>
        <w:b/>
        <w:color w:val="0D0D0D"/>
        <w:sz w:val="20"/>
        <w:szCs w:val="20"/>
      </w:rPr>
      <w:t>2- 2023</w:t>
    </w:r>
    <w:r>
      <w:rPr>
        <w:b/>
        <w:color w:val="0D0D0D"/>
        <w:sz w:val="20"/>
        <w:szCs w:val="2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2" w:rsidRDefault="00224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1A" w:rsidRDefault="00A4291A" w:rsidP="00435F7E">
      <w:pPr>
        <w:spacing w:after="0" w:line="240" w:lineRule="auto"/>
      </w:pPr>
      <w:r>
        <w:separator/>
      </w:r>
    </w:p>
  </w:footnote>
  <w:footnote w:type="continuationSeparator" w:id="1">
    <w:p w:rsidR="00A4291A" w:rsidRDefault="00A4291A" w:rsidP="0043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2" w:rsidRDefault="002244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7E" w:rsidRDefault="002244D2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2244D2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="00256428">
      <w:rPr>
        <w:rFonts w:ascii="Amaranth" w:eastAsia="Amaranth" w:hAnsi="Amaranth" w:cs="Amaranth"/>
        <w:b/>
        <w:color w:val="003399"/>
        <w:sz w:val="38"/>
        <w:szCs w:val="38"/>
      </w:rPr>
      <w:br/>
    </w:r>
    <w:r w:rsidR="00256428">
      <w:rPr>
        <w:rFonts w:ascii="Amaranth" w:eastAsia="Amaranth" w:hAnsi="Amaranth" w:cs="Amaranth"/>
        <w:color w:val="003399"/>
        <w:sz w:val="20"/>
        <w:szCs w:val="20"/>
      </w:rPr>
      <w:t>(Autonomous)</w:t>
    </w:r>
    <w:r w:rsidR="0025642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85726</wp:posOffset>
          </wp:positionH>
          <wp:positionV relativeFrom="paragraph">
            <wp:posOffset>87630</wp:posOffset>
          </wp:positionV>
          <wp:extent cx="933450" cy="923925"/>
          <wp:effectExtent l="0" t="0" r="0" b="0"/>
          <wp:wrapNone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5F7E" w:rsidRDefault="00256428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-416559</wp:posOffset>
            </wp:positionH>
            <wp:positionV relativeFrom="margin">
              <wp:posOffset>3175</wp:posOffset>
            </wp:positionV>
            <wp:extent cx="0" cy="12700"/>
            <wp:effectExtent b="0" l="0" r="0" t="0"/>
            <wp:wrapSquare wrapText="bothSides" distB="0" distT="0" distL="114300" distR="114300"/>
            <wp:docPr id="20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-416559</wp:posOffset>
              </wp:positionH>
              <wp:positionV relativeFrom="margin">
                <wp:posOffset>3175</wp:posOffset>
              </wp:positionV>
              <wp:extent cx="0" cy="12700"/>
              <wp:effectExtent l="0" t="0" r="0" b="0"/>
              <wp:wrapSquare wrapText="bothSides" distT="0" distB="0" distL="114300" distR="114300"/>
              <wp:docPr id="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b/>
        <w:i/>
        <w:color w:val="C00000"/>
        <w:sz w:val="20"/>
        <w:szCs w:val="20"/>
      </w:rPr>
      <w:t>Affiliated to Madurai Kamaraj University</w:t>
    </w:r>
    <w:r>
      <w:rPr>
        <w:b/>
        <w:i/>
        <w:color w:val="C00000"/>
        <w:sz w:val="20"/>
        <w:szCs w:val="20"/>
      </w:rPr>
      <w:br/>
      <w:t>Re-Accredited with ‘A++’ (CGPA 3.61) by NAAC (Cycle - IV)</w:t>
    </w:r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2" w:rsidRDefault="002244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F7E"/>
    <w:rsid w:val="00022F66"/>
    <w:rsid w:val="002244D2"/>
    <w:rsid w:val="00256428"/>
    <w:rsid w:val="00435F7E"/>
    <w:rsid w:val="00796C7A"/>
    <w:rsid w:val="00A4291A"/>
    <w:rsid w:val="00A5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85"/>
  </w:style>
  <w:style w:type="paragraph" w:styleId="Heading1">
    <w:name w:val="heading 1"/>
    <w:basedOn w:val="normal0"/>
    <w:next w:val="normal0"/>
    <w:rsid w:val="00435F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35F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35F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35F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35F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35F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35F7E"/>
  </w:style>
  <w:style w:type="paragraph" w:styleId="Title">
    <w:name w:val="Title"/>
    <w:basedOn w:val="normal0"/>
    <w:next w:val="normal0"/>
    <w:rsid w:val="00435F7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customStyle="1" w:styleId="style13">
    <w:name w:val="style13"/>
    <w:basedOn w:val="Normal"/>
    <w:rsid w:val="00E4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1">
    <w:name w:val="style131"/>
    <w:basedOn w:val="DefaultParagraphFont"/>
    <w:rsid w:val="00E41890"/>
  </w:style>
  <w:style w:type="character" w:styleId="Emphasis">
    <w:name w:val="Emphasis"/>
    <w:basedOn w:val="DefaultParagraphFont"/>
    <w:uiPriority w:val="20"/>
    <w:qFormat/>
    <w:rsid w:val="00E418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435F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5F7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ugepwvvqwDIXXk3Piu0PpjryQg==">AMUW2mUTFkPRwDYkFdRzEZ9sqerrE8qktWQWYphZ9KfygHgnqO3lWG+KLYaaU8zOeZXlm6RkLg9et2ORktx9nUMgFHzb79fv/huFTHxpS4Lk49Z6qYnHPJo=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 S</dc:creator>
  <cp:lastModifiedBy>SARAVANAN</cp:lastModifiedBy>
  <cp:revision>4</cp:revision>
  <dcterms:created xsi:type="dcterms:W3CDTF">2022-12-16T04:10:00Z</dcterms:created>
  <dcterms:modified xsi:type="dcterms:W3CDTF">2024-04-11T14:59:00Z</dcterms:modified>
</cp:coreProperties>
</file>