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B3" w:rsidRDefault="00CD6D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CD6DB3" w:rsidRDefault="00663469">
      <w:pPr>
        <w:spacing w:before="120" w:after="120" w:line="360" w:lineRule="auto"/>
        <w:ind w:left="567" w:right="709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2.3.1 Student-centric methods such as experiential learning, participative learning and problem-solving methodologies are used for enhancing learning experiences.</w:t>
      </w:r>
    </w:p>
    <w:p w:rsidR="00CD6DB3" w:rsidRDefault="00663469">
      <w:pPr>
        <w:spacing w:line="360" w:lineRule="auto"/>
        <w:ind w:left="567" w:right="706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(within a maximum of 200 words)</w:t>
      </w:r>
    </w:p>
    <w:p w:rsidR="00CD6DB3" w:rsidRDefault="00663469">
      <w:pPr>
        <w:spacing w:before="120" w:after="120" w:line="360" w:lineRule="auto"/>
        <w:ind w:left="567" w:right="707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Response: </w:t>
      </w:r>
    </w:p>
    <w:p w:rsidR="00CD6DB3" w:rsidRDefault="00663469">
      <w:pPr>
        <w:spacing w:before="120" w:after="120" w:line="360" w:lineRule="auto"/>
        <w:ind w:left="709" w:right="707" w:hanging="180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Experiential Learning </w:t>
      </w:r>
    </w:p>
    <w:p w:rsidR="00CD6DB3" w:rsidRDefault="00663469">
      <w:pPr>
        <w:spacing w:before="120" w:after="120" w:line="360" w:lineRule="auto"/>
        <w:ind w:left="567" w:right="707" w:hanging="18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</w:rPr>
        <w:t>Learner-centered teaching methods such as group discussions, role play, case study, and field visits supplement classroom teaching.</w:t>
      </w:r>
    </w:p>
    <w:p w:rsidR="00CD6DB3" w:rsidRDefault="006634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76" w:right="707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Hands-on-learning experience</w:t>
      </w:r>
      <w:r>
        <w:rPr>
          <w:rFonts w:ascii="Bookman Old Style" w:eastAsia="Bookman Old Style" w:hAnsi="Bookman Old Style" w:cs="Bookman Old Style"/>
          <w:color w:val="000000"/>
        </w:rPr>
        <w:t xml:space="preserve"> is assured through mandated </w:t>
      </w:r>
      <w:r>
        <w:rPr>
          <w:rFonts w:ascii="Bookman Old Style" w:eastAsia="Bookman Old Style" w:hAnsi="Bookman Old Style" w:cs="Bookman Old Style"/>
        </w:rPr>
        <w:t>internships</w:t>
      </w:r>
      <w:r>
        <w:rPr>
          <w:rFonts w:ascii="Bookman Old Style" w:eastAsia="Bookman Old Style" w:hAnsi="Bookman Old Style" w:cs="Bookman Old Style"/>
          <w:color w:val="000000"/>
        </w:rPr>
        <w:t xml:space="preserve"> for all programmes.</w:t>
      </w:r>
    </w:p>
    <w:p w:rsidR="00CD6DB3" w:rsidRDefault="00663469">
      <w:pPr>
        <w:numPr>
          <w:ilvl w:val="3"/>
          <w:numId w:val="2"/>
        </w:numPr>
        <w:spacing w:before="120" w:after="120" w:line="360" w:lineRule="auto"/>
        <w:ind w:left="1276" w:right="707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Real-time project work </w:t>
      </w:r>
      <w:r>
        <w:rPr>
          <w:rFonts w:ascii="Bookman Old Style" w:eastAsia="Bookman Old Style" w:hAnsi="Bookman Old Style" w:cs="Bookman Old Style"/>
        </w:rPr>
        <w:t>is carried out.</w:t>
      </w:r>
    </w:p>
    <w:p w:rsidR="00CD6DB3" w:rsidRDefault="006634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1276" w:right="707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Lab-to-Land practices</w:t>
      </w:r>
      <w:r>
        <w:rPr>
          <w:rFonts w:ascii="Bookman Old Style" w:eastAsia="Bookman Old Style" w:hAnsi="Bookman Old Style" w:cs="Bookman Old Style"/>
          <w:color w:val="000000"/>
        </w:rPr>
        <w:t xml:space="preserve"> are carried out in the neighbourhood.</w:t>
      </w:r>
    </w:p>
    <w:p w:rsidR="00CD6DB3" w:rsidRDefault="0066346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 w:right="707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On- site learning</w:t>
      </w:r>
      <w:r>
        <w:rPr>
          <w:rFonts w:ascii="Bookman Old Style" w:eastAsia="Bookman Old Style" w:hAnsi="Bookman Old Style" w:cs="Bookman Old Style"/>
          <w:color w:val="000000"/>
        </w:rPr>
        <w:t xml:space="preserve"> is encouraged through Industrial Visits, field trips, </w:t>
      </w:r>
      <w:r>
        <w:rPr>
          <w:rFonts w:ascii="Bookman Old Style" w:eastAsia="Bookman Old Style" w:hAnsi="Bookman Old Style" w:cs="Bookman Old Style"/>
        </w:rPr>
        <w:t>visits</w:t>
      </w:r>
      <w:r>
        <w:rPr>
          <w:rFonts w:ascii="Bookman Old Style" w:eastAsia="Bookman Old Style" w:hAnsi="Bookman Old Style" w:cs="Bookman Old Style"/>
          <w:color w:val="000000"/>
        </w:rPr>
        <w:t xml:space="preserve"> to heritage sites and Media Houses.</w:t>
      </w:r>
    </w:p>
    <w:p w:rsidR="00CD6DB3" w:rsidRDefault="0066346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 w:right="707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Short films</w:t>
      </w:r>
      <w:r>
        <w:rPr>
          <w:rFonts w:ascii="Bookman Old Style" w:eastAsia="Bookman Old Style" w:hAnsi="Bookman Old Style" w:cs="Bookman Old Style"/>
          <w:color w:val="000000"/>
        </w:rPr>
        <w:t xml:space="preserve"> are produced by PG students of English </w:t>
      </w:r>
    </w:p>
    <w:p w:rsidR="00CD6DB3" w:rsidRDefault="0066346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 w:right="707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Alternate therapy</w:t>
      </w:r>
      <w:r>
        <w:rPr>
          <w:rFonts w:ascii="Bookman Old Style" w:eastAsia="Bookman Old Style" w:hAnsi="Bookman Old Style" w:cs="Bookman Old Style"/>
          <w:color w:val="000000"/>
        </w:rPr>
        <w:t xml:space="preserve"> is showcased annually by the departments of Tamil and Zoology.</w:t>
      </w:r>
    </w:p>
    <w:p w:rsidR="00CD6DB3" w:rsidRDefault="0066346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 w:right="707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Extension activities help Students to get first-hand information of the socio economic conditions of the adopted villages </w:t>
      </w:r>
    </w:p>
    <w:p w:rsidR="00CD6DB3" w:rsidRDefault="0066346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418" w:right="707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Earn While You Learn Schemes</w:t>
      </w:r>
      <w:r>
        <w:rPr>
          <w:rFonts w:ascii="Bookman Old Style" w:eastAsia="Bookman Old Style" w:hAnsi="Bookman Old Style" w:cs="Bookman Old Style"/>
          <w:color w:val="000000"/>
        </w:rPr>
        <w:t xml:space="preserve"> provide hands- on experience in the College Library and Industry. </w:t>
      </w:r>
    </w:p>
    <w:p w:rsidR="00CD6DB3" w:rsidRDefault="00663469">
      <w:pPr>
        <w:spacing w:before="120" w:after="120" w:line="360" w:lineRule="auto"/>
        <w:ind w:left="567" w:right="707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Participative Learning </w:t>
      </w:r>
    </w:p>
    <w:p w:rsidR="00CD6DB3" w:rsidRDefault="0066346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1418" w:right="707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Peer teaching – Learning </w:t>
      </w:r>
      <w:r>
        <w:rPr>
          <w:rFonts w:ascii="Bookman Old Style" w:eastAsia="Bookman Old Style" w:hAnsi="Bookman Old Style" w:cs="Bookman Old Style"/>
          <w:color w:val="000000"/>
        </w:rPr>
        <w:t>promotes participative learning.</w:t>
      </w:r>
    </w:p>
    <w:p w:rsidR="00CD6DB3" w:rsidRDefault="0066346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 w:right="707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Self-Study Courses, MOOCs</w:t>
      </w:r>
      <w:r>
        <w:rPr>
          <w:rFonts w:ascii="Bookman Old Style" w:eastAsia="Bookman Old Style" w:hAnsi="Bookman Old Style" w:cs="Bookman Old Style"/>
          <w:color w:val="000000"/>
        </w:rPr>
        <w:t xml:space="preserve"> and other </w:t>
      </w:r>
      <w:r>
        <w:rPr>
          <w:rFonts w:ascii="Bookman Old Style" w:eastAsia="Bookman Old Style" w:hAnsi="Bookman Old Style" w:cs="Bookman Old Style"/>
          <w:b/>
          <w:color w:val="000000"/>
        </w:rPr>
        <w:t>Online Courses</w:t>
      </w:r>
      <w:r>
        <w:rPr>
          <w:rFonts w:ascii="Bookman Old Style" w:eastAsia="Bookman Old Style" w:hAnsi="Bookman Old Style" w:cs="Bookman Old Style"/>
          <w:color w:val="000000"/>
        </w:rPr>
        <w:t xml:space="preserve"> promote participative learning.</w:t>
      </w:r>
    </w:p>
    <w:p w:rsidR="00CD6DB3" w:rsidRDefault="0066346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418" w:right="707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Students participate in Seminars, make models and present posters.</w:t>
      </w:r>
    </w:p>
    <w:p w:rsidR="00CD6DB3" w:rsidRDefault="00663469">
      <w:pPr>
        <w:numPr>
          <w:ilvl w:val="0"/>
          <w:numId w:val="1"/>
        </w:numPr>
        <w:spacing w:before="120" w:after="120" w:line="360" w:lineRule="auto"/>
        <w:ind w:left="1418" w:right="707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lastRenderedPageBreak/>
        <w:t xml:space="preserve">The </w:t>
      </w:r>
      <w:r>
        <w:rPr>
          <w:rFonts w:ascii="Bookman Old Style" w:eastAsia="Bookman Old Style" w:hAnsi="Bookman Old Style" w:cs="Bookman Old Style"/>
          <w:b/>
        </w:rPr>
        <w:t>Language Lab</w:t>
      </w:r>
      <w:r>
        <w:rPr>
          <w:rFonts w:ascii="Bookman Old Style" w:eastAsia="Bookman Old Style" w:hAnsi="Bookman Old Style" w:cs="Bookman Old Style"/>
        </w:rPr>
        <w:t xml:space="preserve"> is used to enhance communication skills, a much-needed ability for placement.</w:t>
      </w:r>
    </w:p>
    <w:p w:rsidR="00CD6DB3" w:rsidRDefault="00663469">
      <w:pPr>
        <w:spacing w:before="120" w:after="120" w:line="360" w:lineRule="auto"/>
        <w:ind w:left="567" w:right="707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Problem-Solving Methods</w:t>
      </w:r>
    </w:p>
    <w:p w:rsidR="00CD6DB3" w:rsidRDefault="0066346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1276" w:right="707" w:hanging="567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Live Projects </w:t>
      </w:r>
      <w:r>
        <w:rPr>
          <w:rFonts w:ascii="Bookman Old Style" w:eastAsia="Bookman Old Style" w:hAnsi="Bookman Old Style" w:cs="Bookman Old Style"/>
          <w:color w:val="000000"/>
        </w:rPr>
        <w:t>are undertaken.</w:t>
      </w:r>
    </w:p>
    <w:p w:rsidR="00CD6DB3" w:rsidRDefault="0066346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right="707" w:hanging="567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Case studies</w:t>
      </w:r>
      <w:r>
        <w:rPr>
          <w:rFonts w:ascii="Bookman Old Style" w:eastAsia="Bookman Old Style" w:hAnsi="Bookman Old Style" w:cs="Bookman Old Style"/>
          <w:color w:val="000000"/>
        </w:rPr>
        <w:t xml:space="preserve"> through media literacy promotes problem-solving.</w:t>
      </w:r>
    </w:p>
    <w:p w:rsidR="00CD6DB3" w:rsidRDefault="0066346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276" w:right="707" w:hanging="567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Computer Programming and the use of Statistical tools </w:t>
      </w:r>
      <w:r>
        <w:rPr>
          <w:rFonts w:ascii="Bookman Old Style" w:eastAsia="Bookman Old Style" w:hAnsi="Bookman Old Style" w:cs="Bookman Old Style"/>
          <w:color w:val="000000"/>
        </w:rPr>
        <w:t>for problem-solving.</w:t>
      </w:r>
    </w:p>
    <w:p w:rsidR="00CD6DB3" w:rsidRDefault="00CD6DB3"/>
    <w:p w:rsidR="00CD6DB3" w:rsidRDefault="00CD6DB3"/>
    <w:p w:rsidR="00CD6DB3" w:rsidRDefault="00CD6DB3"/>
    <w:p w:rsidR="00CD6DB3" w:rsidRDefault="00CD6DB3"/>
    <w:p w:rsidR="00CD6DB3" w:rsidRDefault="00CD6DB3"/>
    <w:p w:rsidR="00CD6DB3" w:rsidRDefault="00CD6DB3"/>
    <w:p w:rsidR="00CD6DB3" w:rsidRDefault="00CD6DB3"/>
    <w:p w:rsidR="00CD6DB3" w:rsidRDefault="00CD6DB3"/>
    <w:p w:rsidR="00CD6DB3" w:rsidRDefault="00CD6DB3"/>
    <w:p w:rsidR="00CD6DB3" w:rsidRDefault="00CD6DB3"/>
    <w:sectPr w:rsidR="00CD6DB3" w:rsidSect="00CD6DB3">
      <w:headerReference w:type="default" r:id="rId8"/>
      <w:footerReference w:type="default" r:id="rId9"/>
      <w:pgSz w:w="11906" w:h="16838"/>
      <w:pgMar w:top="1701" w:right="1440" w:bottom="1440" w:left="1440" w:header="567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4B9" w:rsidRDefault="00BA14B9" w:rsidP="00CD6DB3">
      <w:pPr>
        <w:spacing w:after="0" w:line="240" w:lineRule="auto"/>
      </w:pPr>
      <w:r>
        <w:separator/>
      </w:r>
    </w:p>
  </w:endnote>
  <w:endnote w:type="continuationSeparator" w:id="1">
    <w:p w:rsidR="00BA14B9" w:rsidRDefault="00BA14B9" w:rsidP="00CD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aranth">
    <w:altName w:val="Times New Roman"/>
    <w:panose1 w:val="02000503050000020004"/>
    <w:charset w:val="00"/>
    <w:family w:val="modern"/>
    <w:notTrueType/>
    <w:pitch w:val="variable"/>
    <w:sig w:usb0="80000027" w:usb1="00000043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DB3" w:rsidRDefault="00663469">
    <w:pPr>
      <w:pBdr>
        <w:top w:val="single" w:sz="24" w:space="1" w:color="823B0B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  <w:r>
      <w:rPr>
        <w:rFonts w:eastAsia="Calibri"/>
        <w:b/>
        <w:color w:val="0D0D0D"/>
        <w:sz w:val="20"/>
        <w:szCs w:val="20"/>
      </w:rPr>
      <w:t>Annual Quali</w:t>
    </w:r>
    <w:r w:rsidR="00D76FD9">
      <w:rPr>
        <w:rFonts w:eastAsia="Calibri"/>
        <w:b/>
        <w:color w:val="0D0D0D"/>
        <w:sz w:val="20"/>
        <w:szCs w:val="20"/>
      </w:rPr>
      <w:t>ty Assurance Report (AQAR) (2022- 2023</w:t>
    </w:r>
    <w:r>
      <w:rPr>
        <w:rFonts w:eastAsia="Calibri"/>
        <w:b/>
        <w:color w:val="0D0D0D"/>
        <w:sz w:val="20"/>
        <w:szCs w:val="20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4B9" w:rsidRDefault="00BA14B9" w:rsidP="00CD6DB3">
      <w:pPr>
        <w:spacing w:after="0" w:line="240" w:lineRule="auto"/>
      </w:pPr>
      <w:r>
        <w:separator/>
      </w:r>
    </w:p>
  </w:footnote>
  <w:footnote w:type="continuationSeparator" w:id="1">
    <w:p w:rsidR="00BA14B9" w:rsidRDefault="00BA14B9" w:rsidP="00CD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DB3" w:rsidRDefault="00663469">
    <w:pPr>
      <w:spacing w:after="0" w:line="240" w:lineRule="auto"/>
      <w:jc w:val="center"/>
      <w:rPr>
        <w:rFonts w:ascii="Amaranth" w:eastAsia="Amaranth" w:hAnsi="Amaranth" w:cs="Amaranth"/>
        <w:color w:val="003399"/>
        <w:sz w:val="20"/>
        <w:szCs w:val="20"/>
      </w:rPr>
    </w:pPr>
    <w:r>
      <w:rPr>
        <w:b/>
        <w:smallCaps/>
        <w:color w:val="003399"/>
        <w:sz w:val="48"/>
        <w:szCs w:val="48"/>
      </w:rPr>
      <w:t>Fatima College</w:t>
    </w:r>
    <w:r>
      <w:rPr>
        <w:rFonts w:ascii="Amaranth" w:eastAsia="Amaranth" w:hAnsi="Amaranth" w:cs="Amaranth"/>
        <w:b/>
        <w:color w:val="003399"/>
        <w:sz w:val="38"/>
        <w:szCs w:val="38"/>
      </w:rPr>
      <w:br/>
    </w:r>
    <w:r>
      <w:rPr>
        <w:rFonts w:ascii="Amaranth" w:eastAsia="Amaranth" w:hAnsi="Amaranth" w:cs="Amaranth"/>
        <w:color w:val="003399"/>
        <w:sz w:val="20"/>
        <w:szCs w:val="20"/>
      </w:rPr>
      <w:t>(Autonomous)</w:t>
    </w:r>
    <w:r>
      <w:rPr>
        <w:noProof/>
        <w:lang w:val="en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85726</wp:posOffset>
          </wp:positionH>
          <wp:positionV relativeFrom="paragraph">
            <wp:posOffset>87630</wp:posOffset>
          </wp:positionV>
          <wp:extent cx="933450" cy="923925"/>
          <wp:effectExtent l="0" t="0" r="0" b="0"/>
          <wp:wrapNone/>
          <wp:docPr id="1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50" cy="923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D6DB3" w:rsidRDefault="00663469">
    <w:pPr>
      <w:spacing w:before="60" w:after="60" w:line="240" w:lineRule="auto"/>
      <w:jc w:val="center"/>
      <w:rPr>
        <w:b/>
        <w:color w:val="003399"/>
        <w:sz w:val="20"/>
        <w:szCs w:val="2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-416559</wp:posOffset>
            </wp:positionH>
            <wp:positionV relativeFrom="margin">
              <wp:posOffset>3175</wp:posOffset>
            </wp:positionV>
            <wp:extent cx="0" cy="12700"/>
            <wp:effectExtent b="0" l="0" r="0" t="0"/>
            <wp:wrapSquare wrapText="bothSides" distB="0" distT="0" distL="114300" distR="114300"/>
            <wp:docPr id="15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2061463" y="3780000"/>
                      <a:ext cx="6569075" cy="0"/>
                    </a:xfrm>
                    <a:custGeom>
                      <a:rect b="b" l="l" r="r" t="t"/>
                      <a:pathLst>
                        <a:path extrusionOk="0" h="1" w="6569075">
                          <a:moveTo>
                            <a:pt x="0" y="0"/>
                          </a:moveTo>
                          <a:lnTo>
                            <a:pt x="6569075" y="0"/>
                          </a:lnTo>
                        </a:path>
                      </a:pathLst>
                    </a:custGeom>
                    <a:solidFill>
                      <a:srgbClr val="FFFFFF"/>
                    </a:solidFill>
                    <a:ln cap="flat" cmpd="sng" w="9525">
                      <a:solidFill>
                        <a:srgbClr val="000000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b/>
            <w:noProof/>
            <w:color w:val="003399"/>
            <w:sz w:val="34"/>
            <w:szCs w:val="34"/>
            <w:lang w:val="en-IN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-416559</wp:posOffset>
              </wp:positionH>
              <wp:positionV relativeFrom="margin">
                <wp:posOffset>3175</wp:posOffset>
              </wp:positionV>
              <wp:extent cx="0" cy="12700"/>
              <wp:effectExtent l="0" t="0" r="0" b="0"/>
              <wp:wrapSquare wrapText="bothSides" distT="0" distB="0" distL="114300" distR="114300"/>
              <wp:docPr id="15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b/>
        <w:i/>
        <w:color w:val="C00000"/>
        <w:sz w:val="20"/>
        <w:szCs w:val="20"/>
      </w:rPr>
      <w:t>Affiliated to Madurai Kamaraj University</w:t>
    </w:r>
    <w:r>
      <w:rPr>
        <w:b/>
        <w:i/>
        <w:color w:val="C00000"/>
        <w:sz w:val="20"/>
        <w:szCs w:val="20"/>
      </w:rPr>
      <w:br/>
      <w:t xml:space="preserve">Re-Accredited with </w:t>
    </w:r>
    <w:r w:rsidR="00D76FD9">
      <w:rPr>
        <w:b/>
        <w:i/>
        <w:color w:val="C00000"/>
        <w:sz w:val="20"/>
        <w:szCs w:val="20"/>
      </w:rPr>
      <w:t>‘A++’</w:t>
    </w:r>
    <w:r>
      <w:rPr>
        <w:b/>
        <w:i/>
        <w:color w:val="C00000"/>
        <w:sz w:val="20"/>
        <w:szCs w:val="20"/>
      </w:rPr>
      <w:t xml:space="preserve"> by NAAC (Cycle - IV)</w:t>
    </w:r>
    <w:r>
      <w:rPr>
        <w:b/>
        <w:i/>
        <w:color w:val="C00000"/>
        <w:sz w:val="20"/>
        <w:szCs w:val="20"/>
      </w:rPr>
      <w:br/>
    </w:r>
    <w:r>
      <w:rPr>
        <w:b/>
        <w:color w:val="003399"/>
        <w:sz w:val="20"/>
        <w:szCs w:val="20"/>
      </w:rPr>
      <w:t>Mary Land, Madurai - 625018, Tamil Nadu</w:t>
    </w:r>
  </w:p>
  <w:p w:rsidR="00D76FD9" w:rsidRDefault="00D76FD9">
    <w:pPr>
      <w:spacing w:before="60" w:after="60" w:line="240" w:lineRule="auto"/>
      <w:jc w:val="center"/>
      <w:rPr>
        <w:b/>
        <w:i/>
        <w:color w:val="C00000"/>
        <w:sz w:val="20"/>
        <w:szCs w:val="20"/>
      </w:rPr>
    </w:pPr>
    <w:r>
      <w:rPr>
        <w:b/>
        <w:i/>
        <w:noProof/>
        <w:color w:val="C00000"/>
        <w:sz w:val="20"/>
        <w:szCs w:val="20"/>
        <w:lang w:val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-22.65pt;margin-top:4.25pt;width:495.9pt;height:.8pt;flip:y;z-index:251660288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0BDC"/>
    <w:multiLevelType w:val="multilevel"/>
    <w:tmpl w:val="95126BF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3B904B2"/>
    <w:multiLevelType w:val="multilevel"/>
    <w:tmpl w:val="B476B2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A0E1F7A"/>
    <w:multiLevelType w:val="multilevel"/>
    <w:tmpl w:val="7EA4BE18"/>
    <w:lvl w:ilvl="0">
      <w:start w:val="1"/>
      <w:numFmt w:val="bullet"/>
      <w:lvlText w:val="●"/>
      <w:lvlJc w:val="left"/>
      <w:pPr>
        <w:ind w:left="17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hdrShapeDefaults>
    <o:shapedefaults v:ext="edit" spidmax="4098"/>
    <o:shapelayout v:ext="edit">
      <o:idmap v:ext="edit" data="3"/>
      <o:rules v:ext="edit">
        <o:r id="V:Rule2" type="connector" idref="#_x0000_s307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D6DB3"/>
    <w:rsid w:val="004F07FE"/>
    <w:rsid w:val="00663469"/>
    <w:rsid w:val="008B7F9F"/>
    <w:rsid w:val="00BA14B9"/>
    <w:rsid w:val="00CD6DB3"/>
    <w:rsid w:val="00D7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11A"/>
    <w:rPr>
      <w:rFonts w:eastAsiaTheme="minorEastAsia"/>
    </w:rPr>
  </w:style>
  <w:style w:type="paragraph" w:styleId="Heading1">
    <w:name w:val="heading 1"/>
    <w:basedOn w:val="normal0"/>
    <w:next w:val="normal0"/>
    <w:rsid w:val="00CD6D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D6D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D6D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D6D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D6DB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CD6D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D6DB3"/>
  </w:style>
  <w:style w:type="paragraph" w:styleId="Title">
    <w:name w:val="Title"/>
    <w:basedOn w:val="normal0"/>
    <w:next w:val="normal0"/>
    <w:rsid w:val="00CD6DB3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DD7"/>
  </w:style>
  <w:style w:type="paragraph" w:styleId="Footer">
    <w:name w:val="footer"/>
    <w:basedOn w:val="Normal"/>
    <w:link w:val="Foot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DD7"/>
  </w:style>
  <w:style w:type="character" w:styleId="IntenseReference">
    <w:name w:val="Intense Reference"/>
    <w:uiPriority w:val="32"/>
    <w:qFormat/>
    <w:rsid w:val="001B6DD7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92611A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Default">
    <w:name w:val="Default"/>
    <w:rsid w:val="00926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rsid w:val="00CD6D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Q+OcutFfqwnymb9sMYgF7z2JnQ==">AMUW2mXjIx45KGKEn6PZ7Lot/QyPiSKRzT8iu3SBmzem+bqVYFZ5gBBgLtmyi0qIi9+sWDV+YcvQTicXZYf2NFmcJuaYKgvgwQuGLMRhDmcfwIJgs9cBPkc=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Sathya S</dc:creator>
  <cp:lastModifiedBy>EDCFC1</cp:lastModifiedBy>
  <cp:revision>3</cp:revision>
  <dcterms:created xsi:type="dcterms:W3CDTF">2022-03-16T07:51:00Z</dcterms:created>
  <dcterms:modified xsi:type="dcterms:W3CDTF">2024-04-16T10:20:00Z</dcterms:modified>
</cp:coreProperties>
</file>