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2CB" w:rsidRPr="002B3559" w:rsidRDefault="008732CB" w:rsidP="008732CB">
      <w:pPr>
        <w:tabs>
          <w:tab w:val="left" w:pos="1260"/>
        </w:tabs>
        <w:spacing w:before="240" w:after="240" w:line="360" w:lineRule="auto"/>
        <w:ind w:right="95" w:hanging="13"/>
        <w:jc w:val="both"/>
        <w:rPr>
          <w:rFonts w:ascii="Bookman Old Style" w:hAnsi="Bookman Old Style"/>
          <w:b/>
          <w:sz w:val="24"/>
          <w:szCs w:val="24"/>
        </w:rPr>
      </w:pPr>
      <w:r w:rsidRPr="002B3559">
        <w:rPr>
          <w:rFonts w:ascii="Bookman Old Style" w:hAnsi="Bookman Old Style"/>
          <w:b/>
          <w:sz w:val="24"/>
          <w:szCs w:val="24"/>
        </w:rPr>
        <w:t>6.5.2 The Institution reviews its Teaching Learning Process, Structure</w:t>
      </w:r>
      <w:r>
        <w:rPr>
          <w:rFonts w:ascii="Bookman Old Style" w:hAnsi="Bookman Old Style"/>
          <w:b/>
          <w:sz w:val="24"/>
          <w:szCs w:val="24"/>
        </w:rPr>
        <w:t>s</w:t>
      </w:r>
      <w:r w:rsidRPr="002B3559">
        <w:rPr>
          <w:rFonts w:ascii="Bookman Old Style" w:hAnsi="Bookman Old Style"/>
          <w:b/>
          <w:sz w:val="24"/>
          <w:szCs w:val="24"/>
        </w:rPr>
        <w:t xml:space="preserve"> and Methodologies of operations and learning outcomes at periodic intervals through </w:t>
      </w:r>
      <w:r>
        <w:rPr>
          <w:rFonts w:ascii="Bookman Old Style" w:hAnsi="Bookman Old Style"/>
          <w:b/>
          <w:sz w:val="24"/>
          <w:szCs w:val="24"/>
        </w:rPr>
        <w:t xml:space="preserve">its IQAC set up as per </w:t>
      </w:r>
      <w:r w:rsidRPr="002B3559">
        <w:rPr>
          <w:rFonts w:ascii="Bookman Old Style" w:hAnsi="Bookman Old Style"/>
          <w:b/>
          <w:sz w:val="24"/>
          <w:szCs w:val="24"/>
        </w:rPr>
        <w:t>norms.</w:t>
      </w:r>
    </w:p>
    <w:p w:rsidR="008732CB" w:rsidRPr="002B3559" w:rsidRDefault="008732CB" w:rsidP="008732CB">
      <w:pPr>
        <w:ind w:right="95"/>
        <w:rPr>
          <w:rFonts w:ascii="Bookman Old Style" w:hAnsi="Bookman Old Style"/>
          <w:sz w:val="24"/>
          <w:szCs w:val="24"/>
        </w:rPr>
      </w:pPr>
      <w:r w:rsidRPr="002B3559">
        <w:rPr>
          <w:rFonts w:ascii="Bookman Old Style" w:hAnsi="Bookman Old Style"/>
          <w:b/>
          <w:sz w:val="24"/>
          <w:szCs w:val="24"/>
        </w:rPr>
        <w:t xml:space="preserve">Describe any two examples of institutional reviews and implementation of teaching learning reforms facilitated by the IQAC </w:t>
      </w:r>
      <w:r>
        <w:rPr>
          <w:rFonts w:ascii="Bookman Old Style" w:hAnsi="Bookman Old Style"/>
          <w:b/>
          <w:sz w:val="24"/>
          <w:szCs w:val="24"/>
        </w:rPr>
        <w:t xml:space="preserve">(within a maximum of </w:t>
      </w:r>
      <w:r w:rsidRPr="00925F04">
        <w:rPr>
          <w:rFonts w:ascii="Bookman Old Style" w:hAnsi="Bookman Old Style"/>
          <w:b/>
          <w:sz w:val="24"/>
          <w:szCs w:val="24"/>
        </w:rPr>
        <w:t>200 words each)</w:t>
      </w:r>
    </w:p>
    <w:p w:rsidR="008732CB" w:rsidRPr="002B3559" w:rsidRDefault="008732CB" w:rsidP="008732CB">
      <w:pPr>
        <w:spacing w:before="240" w:after="240" w:line="360" w:lineRule="auto"/>
        <w:ind w:right="95" w:hanging="13"/>
        <w:jc w:val="both"/>
        <w:rPr>
          <w:rFonts w:ascii="Bookman Old Style" w:hAnsi="Bookman Old Style"/>
          <w:b/>
          <w:sz w:val="24"/>
          <w:szCs w:val="24"/>
        </w:rPr>
      </w:pPr>
      <w:r w:rsidRPr="002B3559">
        <w:rPr>
          <w:rFonts w:ascii="Bookman Old Style" w:hAnsi="Bookman Old Style"/>
          <w:b/>
          <w:sz w:val="24"/>
          <w:szCs w:val="24"/>
        </w:rPr>
        <w:t>Response:</w:t>
      </w:r>
    </w:p>
    <w:p w:rsidR="008732CB" w:rsidRPr="002B3559" w:rsidRDefault="008732CB" w:rsidP="008732CB">
      <w:pPr>
        <w:pStyle w:val="ListParagraph"/>
        <w:numPr>
          <w:ilvl w:val="0"/>
          <w:numId w:val="1"/>
        </w:numPr>
        <w:tabs>
          <w:tab w:val="left" w:pos="567"/>
        </w:tabs>
        <w:spacing w:before="240" w:after="240" w:line="360" w:lineRule="auto"/>
        <w:ind w:left="0" w:right="95" w:hanging="13"/>
        <w:jc w:val="both"/>
        <w:rPr>
          <w:rFonts w:ascii="Bookman Old Style" w:hAnsi="Bookman Old Style"/>
          <w:b/>
          <w:sz w:val="24"/>
          <w:szCs w:val="24"/>
        </w:rPr>
      </w:pPr>
      <w:r w:rsidRPr="002B3559">
        <w:rPr>
          <w:rFonts w:ascii="Bookman Old Style" w:hAnsi="Bookman Old Style"/>
          <w:b/>
          <w:sz w:val="24"/>
          <w:szCs w:val="24"/>
        </w:rPr>
        <w:t>Assessment of the teaching-learning process through Academic Audit</w:t>
      </w:r>
    </w:p>
    <w:p w:rsidR="008732CB" w:rsidRPr="002B3559" w:rsidRDefault="008732CB" w:rsidP="008732CB">
      <w:pPr>
        <w:pStyle w:val="ListParagraph"/>
        <w:tabs>
          <w:tab w:val="left" w:pos="1260"/>
        </w:tabs>
        <w:spacing w:before="240" w:after="240" w:line="360" w:lineRule="auto"/>
        <w:ind w:left="0" w:right="95" w:hanging="13"/>
        <w:jc w:val="both"/>
        <w:rPr>
          <w:rFonts w:ascii="Bookman Old Style" w:hAnsi="Bookman Old Style"/>
          <w:sz w:val="24"/>
          <w:szCs w:val="24"/>
        </w:rPr>
      </w:pPr>
      <w:r w:rsidRPr="002B3559">
        <w:rPr>
          <w:rFonts w:ascii="Bookman Old Style" w:hAnsi="Bookman Old Style"/>
          <w:sz w:val="24"/>
          <w:szCs w:val="24"/>
        </w:rPr>
        <w:t>The process gauges teachers &amp; students’ performance and evaluates the learning outcomes.</w:t>
      </w:r>
    </w:p>
    <w:p w:rsidR="008732CB" w:rsidRPr="002B3559" w:rsidRDefault="008732CB" w:rsidP="008732CB">
      <w:pPr>
        <w:pStyle w:val="ListParagraph"/>
        <w:tabs>
          <w:tab w:val="left" w:pos="1260"/>
        </w:tabs>
        <w:spacing w:before="240" w:after="240" w:line="360" w:lineRule="auto"/>
        <w:ind w:left="0" w:right="95" w:hanging="13"/>
        <w:jc w:val="both"/>
        <w:rPr>
          <w:rFonts w:ascii="Bookman Old Style" w:hAnsi="Bookman Old Style"/>
          <w:sz w:val="24"/>
          <w:szCs w:val="24"/>
        </w:rPr>
      </w:pPr>
      <w:r w:rsidRPr="002B3559">
        <w:rPr>
          <w:rFonts w:ascii="Bookman Old Style" w:hAnsi="Bookman Old Style"/>
          <w:sz w:val="24"/>
          <w:szCs w:val="24"/>
        </w:rPr>
        <w:t xml:space="preserve">The </w:t>
      </w:r>
      <w:r w:rsidRPr="002B3559">
        <w:rPr>
          <w:rFonts w:ascii="Bookman Old Style" w:hAnsi="Bookman Old Style"/>
          <w:b/>
          <w:sz w:val="24"/>
          <w:szCs w:val="24"/>
        </w:rPr>
        <w:t>Internal Audit</w:t>
      </w:r>
      <w:r w:rsidRPr="002B3559">
        <w:rPr>
          <w:rFonts w:ascii="Bookman Old Style" w:hAnsi="Bookman Old Style"/>
          <w:sz w:val="24"/>
          <w:szCs w:val="24"/>
        </w:rPr>
        <w:t xml:space="preserve"> involves </w:t>
      </w:r>
      <w:r w:rsidRPr="002B3559">
        <w:rPr>
          <w:rFonts w:ascii="Bookman Old Style" w:hAnsi="Bookman Old Style"/>
          <w:b/>
          <w:sz w:val="24"/>
          <w:szCs w:val="24"/>
        </w:rPr>
        <w:t xml:space="preserve">Micro Teaching </w:t>
      </w:r>
      <w:r w:rsidRPr="002B3559">
        <w:rPr>
          <w:rFonts w:ascii="Bookman Old Style" w:hAnsi="Bookman Old Style"/>
          <w:sz w:val="24"/>
          <w:szCs w:val="24"/>
        </w:rPr>
        <w:t xml:space="preserve">by staff. The teaching methodology of the newly recruited staff is assessed by the IQAC Coordinators and the Heads of Departments. The parameters for analyzing teaching competency are framed by the IQAC. The parameters for assessment include domain knowledge, communication skills, teacher personality and the use of ICT. </w:t>
      </w:r>
    </w:p>
    <w:p w:rsidR="008732CB" w:rsidRPr="002B3559" w:rsidRDefault="008732CB" w:rsidP="008732CB">
      <w:pPr>
        <w:pStyle w:val="ListParagraph"/>
        <w:tabs>
          <w:tab w:val="left" w:pos="1260"/>
        </w:tabs>
        <w:spacing w:before="240" w:after="240" w:line="360" w:lineRule="auto"/>
        <w:ind w:left="0" w:right="95" w:hanging="13"/>
        <w:jc w:val="both"/>
        <w:rPr>
          <w:rFonts w:ascii="Bookman Old Style" w:hAnsi="Bookman Old Style"/>
          <w:sz w:val="24"/>
          <w:szCs w:val="24"/>
        </w:rPr>
      </w:pPr>
      <w:r w:rsidRPr="002B3559">
        <w:rPr>
          <w:rFonts w:ascii="Bookman Old Style" w:hAnsi="Bookman Old Style"/>
          <w:sz w:val="24"/>
          <w:szCs w:val="24"/>
        </w:rPr>
        <w:t xml:space="preserve">The internal audit mechanism helps the institution in chalking out programmes for staff to raise the bar in adopting qualitative, and efficient teaching-learning practices. </w:t>
      </w:r>
    </w:p>
    <w:p w:rsidR="008732CB" w:rsidRPr="002B3559" w:rsidRDefault="008732CB" w:rsidP="008732CB">
      <w:pPr>
        <w:pStyle w:val="ListParagraph"/>
        <w:tabs>
          <w:tab w:val="left" w:pos="1260"/>
        </w:tabs>
        <w:spacing w:before="240" w:after="240" w:line="360" w:lineRule="auto"/>
        <w:ind w:left="0" w:right="95" w:hanging="13"/>
        <w:jc w:val="both"/>
        <w:rPr>
          <w:rFonts w:ascii="Bookman Old Style" w:hAnsi="Bookman Old Style"/>
          <w:sz w:val="24"/>
          <w:szCs w:val="24"/>
        </w:rPr>
      </w:pPr>
      <w:r w:rsidRPr="002B3559">
        <w:rPr>
          <w:rFonts w:ascii="Bookman Old Style" w:hAnsi="Bookman Old Style"/>
          <w:sz w:val="24"/>
          <w:szCs w:val="24"/>
        </w:rPr>
        <w:t xml:space="preserve">Skill-training programmes for the students are the immediate outcome of the needs analysis. The </w:t>
      </w:r>
      <w:r w:rsidRPr="002B3559">
        <w:rPr>
          <w:rFonts w:ascii="Bookman Old Style" w:hAnsi="Bookman Old Style"/>
          <w:caps/>
          <w:sz w:val="24"/>
          <w:szCs w:val="24"/>
        </w:rPr>
        <w:t>iQAC</w:t>
      </w:r>
      <w:r w:rsidRPr="002B3559">
        <w:rPr>
          <w:rFonts w:ascii="Bookman Old Style" w:hAnsi="Bookman Old Style"/>
          <w:sz w:val="24"/>
          <w:szCs w:val="24"/>
        </w:rPr>
        <w:t xml:space="preserve"> regularly interacts with the Students’ Union and gets their suggestions for the all-round improvements of campus life.</w:t>
      </w:r>
    </w:p>
    <w:p w:rsidR="008732CB" w:rsidRPr="002B3559" w:rsidRDefault="008732CB" w:rsidP="008732CB">
      <w:pPr>
        <w:pStyle w:val="ListParagraph"/>
        <w:tabs>
          <w:tab w:val="left" w:pos="1260"/>
        </w:tabs>
        <w:spacing w:before="240" w:after="240" w:line="360" w:lineRule="auto"/>
        <w:ind w:left="0" w:right="95" w:hanging="13"/>
        <w:jc w:val="both"/>
        <w:rPr>
          <w:rFonts w:ascii="Bookman Old Style" w:hAnsi="Bookman Old Style"/>
          <w:sz w:val="24"/>
          <w:szCs w:val="24"/>
        </w:rPr>
      </w:pPr>
      <w:r w:rsidRPr="002B3559">
        <w:rPr>
          <w:rFonts w:ascii="Bookman Old Style" w:hAnsi="Bookman Old Style"/>
          <w:sz w:val="24"/>
          <w:szCs w:val="24"/>
        </w:rPr>
        <w:t xml:space="preserve">The </w:t>
      </w:r>
      <w:r w:rsidRPr="002B3559">
        <w:rPr>
          <w:rFonts w:ascii="Bookman Old Style" w:hAnsi="Bookman Old Style"/>
          <w:b/>
          <w:sz w:val="24"/>
          <w:szCs w:val="24"/>
        </w:rPr>
        <w:t>External Audit</w:t>
      </w:r>
      <w:r w:rsidRPr="002B3559">
        <w:rPr>
          <w:rFonts w:ascii="Bookman Old Style" w:hAnsi="Bookman Old Style"/>
          <w:sz w:val="24"/>
          <w:szCs w:val="24"/>
        </w:rPr>
        <w:t xml:space="preserve"> is conducted on alternate years. Academicians from universities and reputed Institutions review the evaluative reports of all departments.  The team highlights the strengths and limitations of the departments and offers suggestions for improvement. </w:t>
      </w:r>
    </w:p>
    <w:p w:rsidR="008732CB" w:rsidRPr="002B3559" w:rsidRDefault="008732CB" w:rsidP="008732CB">
      <w:pPr>
        <w:pStyle w:val="ListParagraph"/>
        <w:tabs>
          <w:tab w:val="left" w:pos="1260"/>
        </w:tabs>
        <w:spacing w:before="240" w:after="240" w:line="360" w:lineRule="auto"/>
        <w:ind w:left="0" w:right="95" w:hanging="13"/>
        <w:jc w:val="both"/>
        <w:rPr>
          <w:rFonts w:ascii="Bookman Old Style" w:hAnsi="Bookman Old Style"/>
          <w:sz w:val="24"/>
          <w:szCs w:val="24"/>
        </w:rPr>
      </w:pPr>
    </w:p>
    <w:p w:rsidR="008732CB" w:rsidRPr="002B3559" w:rsidRDefault="008732CB" w:rsidP="008732CB">
      <w:pPr>
        <w:pStyle w:val="ListParagraph"/>
        <w:numPr>
          <w:ilvl w:val="0"/>
          <w:numId w:val="1"/>
        </w:numPr>
        <w:tabs>
          <w:tab w:val="left" w:pos="567"/>
        </w:tabs>
        <w:spacing w:before="240" w:after="240" w:line="360" w:lineRule="auto"/>
        <w:ind w:left="0" w:right="95" w:hanging="13"/>
        <w:jc w:val="both"/>
        <w:rPr>
          <w:rFonts w:ascii="Bookman Old Style" w:hAnsi="Bookman Old Style"/>
          <w:b/>
          <w:sz w:val="24"/>
          <w:szCs w:val="24"/>
        </w:rPr>
      </w:pPr>
      <w:r w:rsidRPr="002B3559">
        <w:rPr>
          <w:rFonts w:ascii="Bookman Old Style" w:hAnsi="Bookman Old Style"/>
          <w:b/>
          <w:sz w:val="24"/>
          <w:szCs w:val="24"/>
        </w:rPr>
        <w:lastRenderedPageBreak/>
        <w:t>Feedback Mechanism to assess the teaching learning process and learning outcomes.</w:t>
      </w:r>
    </w:p>
    <w:p w:rsidR="008732CB" w:rsidRPr="002B3559" w:rsidRDefault="008732CB" w:rsidP="008732CB">
      <w:pPr>
        <w:pStyle w:val="ListParagraph"/>
        <w:tabs>
          <w:tab w:val="left" w:pos="1260"/>
        </w:tabs>
        <w:spacing w:before="240" w:after="240" w:line="360" w:lineRule="auto"/>
        <w:ind w:left="0" w:right="95"/>
        <w:jc w:val="both"/>
        <w:rPr>
          <w:rFonts w:ascii="Bookman Old Style" w:hAnsi="Bookman Old Style"/>
          <w:sz w:val="24"/>
          <w:szCs w:val="24"/>
        </w:rPr>
      </w:pPr>
      <w:r w:rsidRPr="002B3559">
        <w:rPr>
          <w:rFonts w:ascii="Bookman Old Style" w:hAnsi="Bookman Old Style"/>
          <w:sz w:val="24"/>
          <w:szCs w:val="24"/>
        </w:rPr>
        <w:t xml:space="preserve">The IQAC gets feedback from students, parents and the industry to assess the relevance of the courses offered by Fatima College in terms of knowledge and skill </w:t>
      </w:r>
      <w:proofErr w:type="gramStart"/>
      <w:r w:rsidRPr="002B3559">
        <w:rPr>
          <w:rFonts w:ascii="Bookman Old Style" w:hAnsi="Bookman Old Style"/>
          <w:sz w:val="24"/>
          <w:szCs w:val="24"/>
        </w:rPr>
        <w:t>acquired,</w:t>
      </w:r>
      <w:proofErr w:type="gramEnd"/>
      <w:r w:rsidRPr="002B3559">
        <w:rPr>
          <w:rFonts w:ascii="Bookman Old Style" w:hAnsi="Bookman Old Style"/>
          <w:sz w:val="24"/>
          <w:szCs w:val="24"/>
        </w:rPr>
        <w:t xml:space="preserve"> development of critical thinking, employability and career orientation.</w:t>
      </w:r>
    </w:p>
    <w:p w:rsidR="008732CB" w:rsidRDefault="008732CB" w:rsidP="008732CB">
      <w:pPr>
        <w:pStyle w:val="ListParagraph"/>
        <w:tabs>
          <w:tab w:val="left" w:pos="1260"/>
        </w:tabs>
        <w:spacing w:before="240" w:after="240" w:line="360" w:lineRule="auto"/>
        <w:ind w:left="0" w:right="95"/>
        <w:jc w:val="both"/>
        <w:rPr>
          <w:rFonts w:ascii="Bookman Old Style" w:hAnsi="Bookman Old Style"/>
          <w:sz w:val="24"/>
          <w:szCs w:val="24"/>
        </w:rPr>
      </w:pPr>
      <w:r w:rsidRPr="002B3559">
        <w:rPr>
          <w:rFonts w:ascii="Bookman Old Style" w:hAnsi="Bookman Old Style"/>
          <w:sz w:val="24"/>
          <w:szCs w:val="24"/>
        </w:rPr>
        <w:t xml:space="preserve"> The feedback form is designed to elicit responses on the curriculum, promotion of research culture, student-centric activities, and campus life in general. </w:t>
      </w:r>
    </w:p>
    <w:p w:rsidR="008732CB" w:rsidRPr="002B3559" w:rsidRDefault="008732CB" w:rsidP="008732CB">
      <w:pPr>
        <w:pStyle w:val="ListParagraph"/>
        <w:tabs>
          <w:tab w:val="left" w:pos="1260"/>
        </w:tabs>
        <w:spacing w:before="240" w:after="240" w:line="360" w:lineRule="auto"/>
        <w:ind w:left="0" w:right="95"/>
        <w:jc w:val="both"/>
        <w:rPr>
          <w:rFonts w:ascii="Bookman Old Style" w:hAnsi="Bookman Old Style"/>
          <w:sz w:val="24"/>
          <w:szCs w:val="24"/>
        </w:rPr>
      </w:pPr>
      <w:r w:rsidRPr="002B3559">
        <w:rPr>
          <w:rFonts w:ascii="Bookman Old Style" w:hAnsi="Bookman Old Style"/>
          <w:sz w:val="24"/>
          <w:szCs w:val="24"/>
        </w:rPr>
        <w:t xml:space="preserve">Feedback is also got from the </w:t>
      </w:r>
      <w:r w:rsidRPr="002B3559">
        <w:rPr>
          <w:rFonts w:ascii="Bookman Old Style" w:hAnsi="Bookman Old Style"/>
          <w:b/>
          <w:sz w:val="24"/>
          <w:szCs w:val="24"/>
        </w:rPr>
        <w:t>students on the staff</w:t>
      </w:r>
      <w:r w:rsidRPr="002B3559">
        <w:rPr>
          <w:rFonts w:ascii="Bookman Old Style" w:hAnsi="Bookman Old Style"/>
          <w:sz w:val="24"/>
          <w:szCs w:val="24"/>
        </w:rPr>
        <w:t xml:space="preserve">. Her ability to impact heterogeneous learners is assessed. </w:t>
      </w:r>
    </w:p>
    <w:p w:rsidR="008732CB" w:rsidRPr="002B3559" w:rsidRDefault="008732CB" w:rsidP="008732CB">
      <w:pPr>
        <w:pStyle w:val="ListParagraph"/>
        <w:tabs>
          <w:tab w:val="left" w:pos="1260"/>
        </w:tabs>
        <w:spacing w:before="240" w:after="240" w:line="360" w:lineRule="auto"/>
        <w:ind w:left="0" w:right="95"/>
        <w:jc w:val="both"/>
        <w:rPr>
          <w:rFonts w:ascii="Bookman Old Style" w:hAnsi="Bookman Old Style"/>
          <w:sz w:val="24"/>
          <w:szCs w:val="24"/>
        </w:rPr>
      </w:pPr>
      <w:r w:rsidRPr="002B3559">
        <w:rPr>
          <w:rFonts w:ascii="Bookman Old Style" w:hAnsi="Bookman Old Style"/>
          <w:b/>
          <w:sz w:val="24"/>
          <w:szCs w:val="24"/>
        </w:rPr>
        <w:t>Parents</w:t>
      </w:r>
      <w:r w:rsidRPr="002B3559">
        <w:rPr>
          <w:rFonts w:ascii="Bookman Old Style" w:hAnsi="Bookman Old Style"/>
          <w:sz w:val="24"/>
          <w:szCs w:val="24"/>
        </w:rPr>
        <w:t xml:space="preserve"> provide feedback on the curriculum and the learning outcomes. The feedback is collated and the Management takes the necessary steps to enrich the teaching-learning process. </w:t>
      </w:r>
    </w:p>
    <w:p w:rsidR="008732CB" w:rsidRPr="002B3559" w:rsidRDefault="008732CB" w:rsidP="008732CB">
      <w:pPr>
        <w:pStyle w:val="ListParagraph"/>
        <w:tabs>
          <w:tab w:val="left" w:pos="1260"/>
        </w:tabs>
        <w:spacing w:before="240" w:after="240" w:line="360" w:lineRule="auto"/>
        <w:ind w:left="0" w:right="95"/>
        <w:jc w:val="both"/>
        <w:rPr>
          <w:rFonts w:ascii="Bookman Old Style" w:hAnsi="Bookman Old Style"/>
          <w:sz w:val="24"/>
          <w:szCs w:val="24"/>
        </w:rPr>
      </w:pPr>
      <w:r w:rsidRPr="002B3559">
        <w:rPr>
          <w:rFonts w:ascii="Bookman Old Style" w:hAnsi="Bookman Old Style"/>
          <w:sz w:val="24"/>
          <w:szCs w:val="24"/>
        </w:rPr>
        <w:t xml:space="preserve">Feedback is obtained from the </w:t>
      </w:r>
      <w:r w:rsidRPr="002B3559">
        <w:rPr>
          <w:rFonts w:ascii="Bookman Old Style" w:hAnsi="Bookman Old Style"/>
          <w:b/>
          <w:sz w:val="24"/>
          <w:szCs w:val="24"/>
        </w:rPr>
        <w:t xml:space="preserve">industry </w:t>
      </w:r>
      <w:r w:rsidRPr="002B3559">
        <w:rPr>
          <w:rFonts w:ascii="Bookman Old Style" w:hAnsi="Bookman Old Style"/>
          <w:sz w:val="24"/>
          <w:szCs w:val="24"/>
        </w:rPr>
        <w:t xml:space="preserve">to assess the relevance of the courses in terms of knowledge, skill acquired, employability and critical thinking. Based on the feedback from the prospective employers, the students are trained to face interviews, improve their communication </w:t>
      </w:r>
      <w:r>
        <w:rPr>
          <w:rFonts w:ascii="Bookman Old Style" w:hAnsi="Bookman Old Style"/>
          <w:sz w:val="24"/>
          <w:szCs w:val="24"/>
        </w:rPr>
        <w:t xml:space="preserve">and soft </w:t>
      </w:r>
      <w:r w:rsidRPr="002B3559">
        <w:rPr>
          <w:rFonts w:ascii="Bookman Old Style" w:hAnsi="Bookman Old Style"/>
          <w:sz w:val="24"/>
          <w:szCs w:val="24"/>
        </w:rPr>
        <w:t>skills so that they are career-ready.</w:t>
      </w:r>
    </w:p>
    <w:p w:rsidR="008732CB" w:rsidRDefault="008732CB" w:rsidP="008732CB">
      <w:pPr>
        <w:pStyle w:val="ListParagraph"/>
        <w:tabs>
          <w:tab w:val="left" w:pos="1260"/>
        </w:tabs>
        <w:spacing w:before="240" w:after="240" w:line="360" w:lineRule="auto"/>
        <w:ind w:left="0" w:right="95"/>
        <w:jc w:val="both"/>
        <w:rPr>
          <w:rFonts w:ascii="Bookman Old Style" w:hAnsi="Bookman Old Style"/>
          <w:sz w:val="24"/>
          <w:szCs w:val="24"/>
        </w:rPr>
      </w:pPr>
      <w:r w:rsidRPr="002B3559">
        <w:rPr>
          <w:rFonts w:ascii="Bookman Old Style" w:hAnsi="Bookman Old Style"/>
          <w:sz w:val="24"/>
          <w:szCs w:val="24"/>
        </w:rPr>
        <w:t>Feedback enables fine tuning the curricula, examination reforms and creating opportunities for internship.</w:t>
      </w:r>
    </w:p>
    <w:p w:rsidR="008732CB" w:rsidRDefault="008732CB" w:rsidP="008732CB">
      <w:pPr>
        <w:pStyle w:val="ListParagraph"/>
        <w:tabs>
          <w:tab w:val="left" w:pos="1260"/>
        </w:tabs>
        <w:spacing w:before="240" w:after="240" w:line="360" w:lineRule="auto"/>
        <w:ind w:left="0" w:right="95"/>
        <w:jc w:val="both"/>
        <w:rPr>
          <w:rFonts w:ascii="Bookman Old Style" w:hAnsi="Bookman Old Style"/>
          <w:sz w:val="24"/>
          <w:szCs w:val="24"/>
        </w:rPr>
      </w:pPr>
      <w:r>
        <w:rPr>
          <w:rFonts w:ascii="Bookman Old Style" w:hAnsi="Bookman Old Style"/>
          <w:sz w:val="24"/>
          <w:szCs w:val="24"/>
        </w:rPr>
        <w:t>The IQAC uses the feedback mechanism as an effective tool to review the teaching-learning process.</w:t>
      </w:r>
    </w:p>
    <w:sectPr w:rsidR="008732CB" w:rsidSect="008C54D6">
      <w:headerReference w:type="default" r:id="rId7"/>
      <w:footerReference w:type="default" r:id="rId8"/>
      <w:pgSz w:w="11906" w:h="16838"/>
      <w:pgMar w:top="709"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EDF" w:rsidRDefault="009C1EDF" w:rsidP="00EF30D4">
      <w:pPr>
        <w:spacing w:after="0" w:line="240" w:lineRule="auto"/>
      </w:pPr>
      <w:r>
        <w:separator/>
      </w:r>
    </w:p>
  </w:endnote>
  <w:endnote w:type="continuationSeparator" w:id="0">
    <w:p w:rsidR="009C1EDF" w:rsidRDefault="009C1EDF" w:rsidP="00EF30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maranth">
    <w:panose1 w:val="00000000000000000000"/>
    <w:charset w:val="00"/>
    <w:family w:val="modern"/>
    <w:notTrueType/>
    <w:pitch w:val="variable"/>
    <w:sig w:usb0="A0000027" w:usb1="00000043"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D4" w:rsidRDefault="00EF30D4">
    <w:pPr>
      <w:pStyle w:val="Footer"/>
      <w:pBdr>
        <w:top w:val="thinThickSmallGap" w:sz="24" w:space="1" w:color="823B0B" w:themeColor="accent2" w:themeShade="7F"/>
      </w:pBdr>
      <w:rPr>
        <w:rFonts w:asciiTheme="majorHAnsi" w:hAnsiTheme="majorHAnsi"/>
      </w:rPr>
    </w:pPr>
    <w:r w:rsidRPr="00EF30D4">
      <w:rPr>
        <w:rFonts w:ascii="Calibri" w:hAnsi="Calibri" w:cs="Calibri"/>
        <w:b/>
        <w:bCs/>
        <w:iCs/>
        <w:color w:val="0D0D0D"/>
        <w:sz w:val="20"/>
        <w:szCs w:val="20"/>
      </w:rPr>
      <w:t>Annual Quality Assurance Report (</w:t>
    </w:r>
    <w:r w:rsidRPr="00EF30D4">
      <w:rPr>
        <w:rFonts w:ascii="Calibri" w:hAnsi="Calibri" w:cs="Calibri"/>
        <w:b/>
        <w:color w:val="0D0D0D"/>
        <w:sz w:val="20"/>
        <w:szCs w:val="20"/>
      </w:rPr>
      <w:t>AQAR</w:t>
    </w:r>
    <w:r w:rsidRPr="00EF30D4">
      <w:rPr>
        <w:rFonts w:ascii="Calibri" w:hAnsi="Calibri" w:cs="Calibri"/>
        <w:b/>
        <w:bCs/>
        <w:iCs/>
        <w:color w:val="0D0D0D"/>
        <w:sz w:val="20"/>
        <w:szCs w:val="20"/>
      </w:rPr>
      <w:t>) (2020 – 2021)</w:t>
    </w:r>
    <w:r>
      <w:rPr>
        <w:rFonts w:asciiTheme="majorHAnsi" w:hAnsiTheme="majorHAnsi"/>
      </w:rPr>
      <w:ptab w:relativeTo="margin" w:alignment="right" w:leader="none"/>
    </w:r>
  </w:p>
  <w:p w:rsidR="00EF30D4" w:rsidRPr="00EF30D4" w:rsidRDefault="00EF30D4" w:rsidP="00EF30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EDF" w:rsidRDefault="009C1EDF" w:rsidP="00EF30D4">
      <w:pPr>
        <w:spacing w:after="0" w:line="240" w:lineRule="auto"/>
      </w:pPr>
      <w:r>
        <w:separator/>
      </w:r>
    </w:p>
  </w:footnote>
  <w:footnote w:type="continuationSeparator" w:id="0">
    <w:p w:rsidR="009C1EDF" w:rsidRDefault="009C1EDF" w:rsidP="00EF30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D4" w:rsidRPr="00BC1E61" w:rsidRDefault="00EF30D4" w:rsidP="00EF30D4">
    <w:pPr>
      <w:spacing w:after="0" w:line="240" w:lineRule="auto"/>
      <w:ind w:right="-46"/>
      <w:jc w:val="center"/>
      <w:rPr>
        <w:rFonts w:ascii="Calibri" w:hAnsi="Calibri" w:cs="Calibri"/>
        <w:b/>
        <w:bCs/>
        <w:i/>
        <w:iCs/>
        <w:color w:val="C00000"/>
        <w:sz w:val="20"/>
      </w:rPr>
    </w:pPr>
    <w:r>
      <w:rPr>
        <w:rFonts w:ascii="Amaranth" w:hAnsi="Amaranth"/>
        <w:b/>
        <w:noProof/>
        <w:color w:val="003399"/>
        <w:sz w:val="32"/>
        <w:u w:val="single"/>
      </w:rPr>
      <w:drawing>
        <wp:anchor distT="0" distB="0" distL="114300" distR="114300" simplePos="0" relativeHeight="251660288" behindDoc="0" locked="0" layoutInCell="1" allowOverlap="1">
          <wp:simplePos x="0" y="0"/>
          <wp:positionH relativeFrom="margin">
            <wp:posOffset>-57150</wp:posOffset>
          </wp:positionH>
          <wp:positionV relativeFrom="paragraph">
            <wp:posOffset>26035</wp:posOffset>
          </wp:positionV>
          <wp:extent cx="968375" cy="962025"/>
          <wp:effectExtent l="19050" t="0" r="3175" b="0"/>
          <wp:wrapNone/>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375" cy="962025"/>
                  </a:xfrm>
                  <a:prstGeom prst="rect">
                    <a:avLst/>
                  </a:prstGeom>
                  <a:noFill/>
                  <a:ln>
                    <a:noFill/>
                  </a:ln>
                </pic:spPr>
              </pic:pic>
            </a:graphicData>
          </a:graphic>
        </wp:anchor>
      </w:drawing>
    </w:r>
    <w:r w:rsidRPr="00393F99">
      <w:rPr>
        <w:rFonts w:ascii="Amaranth" w:hAnsi="Amaranth"/>
        <w:b/>
        <w:noProof/>
        <w:color w:val="003399"/>
        <w:sz w:val="32"/>
        <w:u w:val="single"/>
      </w:rPr>
      <w:drawing>
        <wp:anchor distT="0" distB="0" distL="114300" distR="114300" simplePos="0" relativeHeight="251662336" behindDoc="1" locked="0" layoutInCell="1" allowOverlap="1">
          <wp:simplePos x="0" y="0"/>
          <wp:positionH relativeFrom="column">
            <wp:posOffset>4765040</wp:posOffset>
          </wp:positionH>
          <wp:positionV relativeFrom="paragraph">
            <wp:posOffset>-87630</wp:posOffset>
          </wp:positionV>
          <wp:extent cx="1502410" cy="1172845"/>
          <wp:effectExtent l="19050" t="0" r="2540" b="0"/>
          <wp:wrapTight wrapText="bothSides">
            <wp:wrapPolygon edited="0">
              <wp:start x="-274" y="0"/>
              <wp:lineTo x="-274" y="21401"/>
              <wp:lineTo x="21637" y="21401"/>
              <wp:lineTo x="21637" y="0"/>
              <wp:lineTo x="-274" y="0"/>
            </wp:wrapPolygon>
          </wp:wrapTight>
          <wp:docPr id="5" name="Picture 1" descr="C:\Users\NAAC\Desktop\Final Fatima College IQ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AC\Desktop\Final Fatima College IQAC Logo.jpg"/>
                  <pic:cNvPicPr>
                    <a:picLocks noChangeAspect="1" noChangeArrowheads="1"/>
                  </pic:cNvPicPr>
                </pic:nvPicPr>
                <pic:blipFill>
                  <a:blip r:embed="rId2"/>
                  <a:srcRect/>
                  <a:stretch>
                    <a:fillRect/>
                  </a:stretch>
                </pic:blipFill>
                <pic:spPr bwMode="auto">
                  <a:xfrm>
                    <a:off x="0" y="0"/>
                    <a:ext cx="1502410" cy="1172845"/>
                  </a:xfrm>
                  <a:prstGeom prst="rect">
                    <a:avLst/>
                  </a:prstGeom>
                  <a:noFill/>
                  <a:ln w="9525">
                    <a:noFill/>
                    <a:miter lim="800000"/>
                    <a:headEnd/>
                    <a:tailEnd/>
                  </a:ln>
                </pic:spPr>
              </pic:pic>
            </a:graphicData>
          </a:graphic>
        </wp:anchor>
      </w:drawing>
    </w:r>
    <w:r w:rsidRPr="00393F99">
      <w:rPr>
        <w:rFonts w:ascii="Amaranth" w:hAnsi="Amaranth"/>
        <w:b/>
        <w:color w:val="003399"/>
        <w:sz w:val="38"/>
      </w:rPr>
      <w:t xml:space="preserve">Fatima College </w:t>
    </w:r>
    <w:r>
      <w:rPr>
        <w:rFonts w:ascii="Amaranth" w:hAnsi="Amaranth"/>
        <w:b/>
        <w:color w:val="003399"/>
        <w:sz w:val="38"/>
      </w:rPr>
      <w:br/>
    </w:r>
    <w:r w:rsidRPr="0052294F">
      <w:rPr>
        <w:rFonts w:ascii="Amaranth" w:hAnsi="Amaranth"/>
        <w:b/>
        <w:color w:val="003399"/>
        <w:sz w:val="20"/>
        <w:szCs w:val="20"/>
      </w:rPr>
      <w:t>(Autonomous)</w:t>
    </w:r>
    <w:r w:rsidRPr="00393F99">
      <w:rPr>
        <w:rFonts w:ascii="Amaranth" w:hAnsi="Amaranth"/>
        <w:b/>
        <w:color w:val="002060"/>
        <w:sz w:val="28"/>
      </w:rPr>
      <w:br/>
    </w:r>
    <w:r w:rsidRPr="00BC1E61">
      <w:rPr>
        <w:rFonts w:ascii="Calibri" w:hAnsi="Calibri" w:cs="Calibri"/>
        <w:b/>
        <w:bCs/>
        <w:i/>
        <w:iCs/>
        <w:color w:val="C00000"/>
        <w:sz w:val="20"/>
      </w:rPr>
      <w:t xml:space="preserve">Re-Accredited with </w:t>
    </w:r>
    <w:r>
      <w:rPr>
        <w:rFonts w:ascii="Calibri" w:hAnsi="Calibri" w:cs="Calibri"/>
        <w:b/>
        <w:bCs/>
        <w:i/>
        <w:iCs/>
        <w:color w:val="C00000"/>
        <w:sz w:val="20"/>
      </w:rPr>
      <w:t>‘</w:t>
    </w:r>
    <w:r w:rsidRPr="00BC1E61">
      <w:rPr>
        <w:rFonts w:ascii="Calibri" w:hAnsi="Calibri" w:cs="Calibri"/>
        <w:b/>
        <w:bCs/>
        <w:i/>
        <w:iCs/>
        <w:color w:val="C00000"/>
        <w:sz w:val="20"/>
      </w:rPr>
      <w:t>A++</w:t>
    </w:r>
    <w:r>
      <w:rPr>
        <w:rFonts w:ascii="Calibri" w:hAnsi="Calibri" w:cs="Calibri"/>
        <w:b/>
        <w:bCs/>
        <w:i/>
        <w:iCs/>
        <w:color w:val="C00000"/>
        <w:sz w:val="20"/>
      </w:rPr>
      <w:t>’</w:t>
    </w:r>
    <w:r w:rsidRPr="00BC1E61">
      <w:rPr>
        <w:rFonts w:ascii="Calibri" w:hAnsi="Calibri" w:cs="Calibri"/>
        <w:b/>
        <w:bCs/>
        <w:i/>
        <w:iCs/>
        <w:color w:val="C00000"/>
        <w:sz w:val="20"/>
      </w:rPr>
      <w:t xml:space="preserve"> </w:t>
    </w:r>
    <w:r>
      <w:rPr>
        <w:rFonts w:ascii="Calibri" w:hAnsi="Calibri" w:cs="Calibri"/>
        <w:b/>
        <w:bCs/>
        <w:i/>
        <w:iCs/>
        <w:color w:val="C00000"/>
        <w:sz w:val="20"/>
      </w:rPr>
      <w:t>(</w:t>
    </w:r>
    <w:r w:rsidRPr="00BC1E61">
      <w:rPr>
        <w:rFonts w:ascii="Calibri" w:hAnsi="Calibri" w:cs="Calibri"/>
        <w:b/>
        <w:bCs/>
        <w:i/>
        <w:iCs/>
        <w:color w:val="C00000"/>
        <w:sz w:val="20"/>
      </w:rPr>
      <w:t>CGPA 3.61</w:t>
    </w:r>
    <w:r>
      <w:rPr>
        <w:rFonts w:ascii="Calibri" w:hAnsi="Calibri" w:cs="Calibri"/>
        <w:b/>
        <w:bCs/>
        <w:i/>
        <w:iCs/>
        <w:color w:val="C00000"/>
        <w:sz w:val="20"/>
      </w:rPr>
      <w:t xml:space="preserve">) </w:t>
    </w:r>
    <w:r w:rsidRPr="00BC1E61">
      <w:rPr>
        <w:rFonts w:ascii="Calibri" w:hAnsi="Calibri" w:cs="Calibri"/>
        <w:b/>
        <w:bCs/>
        <w:i/>
        <w:iCs/>
        <w:color w:val="C00000"/>
        <w:sz w:val="20"/>
      </w:rPr>
      <w:t>by NAAC (Cycle</w:t>
    </w:r>
    <w:r>
      <w:rPr>
        <w:rFonts w:ascii="Calibri" w:hAnsi="Calibri" w:cs="Calibri"/>
        <w:b/>
        <w:bCs/>
        <w:i/>
        <w:iCs/>
        <w:color w:val="C00000"/>
        <w:sz w:val="20"/>
      </w:rPr>
      <w:t>- IV</w:t>
    </w:r>
    <w:r w:rsidRPr="00BC1E61">
      <w:rPr>
        <w:rFonts w:ascii="Calibri" w:hAnsi="Calibri" w:cs="Calibri"/>
        <w:b/>
        <w:bCs/>
        <w:i/>
        <w:iCs/>
        <w:color w:val="C00000"/>
        <w:sz w:val="20"/>
      </w:rPr>
      <w:t xml:space="preserve">) </w:t>
    </w:r>
    <w:r w:rsidRPr="00BC1E61">
      <w:rPr>
        <w:rFonts w:ascii="Calibri" w:hAnsi="Calibri" w:cs="Calibri"/>
        <w:b/>
        <w:bCs/>
        <w:i/>
        <w:iCs/>
        <w:color w:val="C00000"/>
        <w:sz w:val="20"/>
      </w:rPr>
      <w:br/>
      <w:t>College with Potential for Excellence (2004 - 2019)</w:t>
    </w:r>
  </w:p>
  <w:p w:rsidR="00EF30D4" w:rsidRPr="00BC1E61" w:rsidRDefault="00EF30D4" w:rsidP="00EF30D4">
    <w:pPr>
      <w:spacing w:after="0" w:line="240" w:lineRule="auto"/>
      <w:ind w:right="-46"/>
      <w:jc w:val="center"/>
      <w:rPr>
        <w:rFonts w:ascii="Calibri" w:hAnsi="Calibri" w:cs="Calibri"/>
        <w:b/>
        <w:bCs/>
        <w:i/>
        <w:iCs/>
        <w:color w:val="C00000"/>
        <w:sz w:val="20"/>
      </w:rPr>
    </w:pPr>
    <w:r>
      <w:rPr>
        <w:rFonts w:ascii="Calibri" w:hAnsi="Calibri" w:cs="Calibri"/>
        <w:b/>
        <w:bCs/>
        <w:i/>
        <w:iCs/>
        <w:color w:val="C00000"/>
        <w:sz w:val="20"/>
      </w:rPr>
      <w:t xml:space="preserve">101 </w:t>
    </w:r>
    <w:r w:rsidR="007678B5">
      <w:rPr>
        <w:rFonts w:ascii="Calibri" w:hAnsi="Calibri" w:cs="Calibri"/>
        <w:b/>
        <w:bCs/>
        <w:i/>
        <w:iCs/>
        <w:color w:val="C00000"/>
        <w:sz w:val="20"/>
      </w:rPr>
      <w:t>-</w:t>
    </w:r>
    <w:r>
      <w:rPr>
        <w:rFonts w:ascii="Calibri" w:hAnsi="Calibri" w:cs="Calibri"/>
        <w:b/>
        <w:bCs/>
        <w:i/>
        <w:iCs/>
        <w:color w:val="C00000"/>
        <w:sz w:val="20"/>
      </w:rPr>
      <w:t xml:space="preserve"> 150 </w:t>
    </w:r>
    <w:r w:rsidRPr="00BC1E61">
      <w:rPr>
        <w:rFonts w:ascii="Calibri" w:hAnsi="Calibri" w:cs="Calibri"/>
        <w:b/>
        <w:bCs/>
        <w:i/>
        <w:iCs/>
        <w:color w:val="C00000"/>
        <w:sz w:val="20"/>
      </w:rPr>
      <w:t>Rank</w:t>
    </w:r>
    <w:r>
      <w:rPr>
        <w:rFonts w:ascii="Calibri" w:hAnsi="Calibri" w:cs="Calibri"/>
        <w:b/>
        <w:bCs/>
        <w:i/>
        <w:iCs/>
        <w:color w:val="C00000"/>
        <w:sz w:val="20"/>
      </w:rPr>
      <w:t xml:space="preserve"> Band</w:t>
    </w:r>
    <w:r w:rsidRPr="00BC1E61">
      <w:rPr>
        <w:rFonts w:ascii="Calibri" w:hAnsi="Calibri" w:cs="Calibri"/>
        <w:b/>
        <w:bCs/>
        <w:i/>
        <w:iCs/>
        <w:color w:val="C00000"/>
        <w:sz w:val="20"/>
      </w:rPr>
      <w:t xml:space="preserve"> in India Ranking 2021 (NIRF)</w:t>
    </w:r>
  </w:p>
  <w:p w:rsidR="00EF30D4" w:rsidRPr="00393F99" w:rsidRDefault="00EF30D4" w:rsidP="00EF30D4">
    <w:pPr>
      <w:spacing w:after="0" w:line="240" w:lineRule="auto"/>
      <w:ind w:right="-46"/>
      <w:jc w:val="center"/>
      <w:rPr>
        <w:rFonts w:ascii="Amaranth" w:hAnsi="Amaranth"/>
        <w:b/>
        <w:color w:val="003399"/>
        <w:sz w:val="36"/>
      </w:rPr>
    </w:pPr>
    <w:r w:rsidRPr="00393F99">
      <w:rPr>
        <w:rFonts w:ascii="Calibri" w:hAnsi="Calibri" w:cs="Calibri"/>
        <w:b/>
        <w:bCs/>
        <w:iCs/>
        <w:color w:val="003399"/>
        <w:sz w:val="20"/>
      </w:rPr>
      <w:t xml:space="preserve">Mary Land, Madurai </w:t>
    </w:r>
    <w:r w:rsidR="007678B5">
      <w:rPr>
        <w:rFonts w:ascii="Calibri" w:hAnsi="Calibri" w:cs="Calibri"/>
        <w:b/>
        <w:bCs/>
        <w:iCs/>
        <w:color w:val="003399"/>
        <w:sz w:val="20"/>
      </w:rPr>
      <w:t>-</w:t>
    </w:r>
    <w:r w:rsidRPr="00393F99">
      <w:rPr>
        <w:rFonts w:ascii="Calibri" w:hAnsi="Calibri" w:cs="Calibri"/>
        <w:b/>
        <w:bCs/>
        <w:iCs/>
        <w:color w:val="003399"/>
        <w:sz w:val="20"/>
      </w:rPr>
      <w:t xml:space="preserve"> 625</w:t>
    </w:r>
    <w:r w:rsidR="007678B5">
      <w:rPr>
        <w:rFonts w:ascii="Calibri" w:hAnsi="Calibri" w:cs="Calibri"/>
        <w:b/>
        <w:bCs/>
        <w:iCs/>
        <w:color w:val="003399"/>
        <w:sz w:val="20"/>
      </w:rPr>
      <w:t xml:space="preserve"> </w:t>
    </w:r>
    <w:r w:rsidRPr="00393F99">
      <w:rPr>
        <w:rFonts w:ascii="Calibri" w:hAnsi="Calibri" w:cs="Calibri"/>
        <w:b/>
        <w:bCs/>
        <w:iCs/>
        <w:color w:val="003399"/>
        <w:sz w:val="20"/>
      </w:rPr>
      <w:t>018, Tamil Nadu</w:t>
    </w:r>
    <w:r w:rsidR="007678B5">
      <w:rPr>
        <w:rFonts w:ascii="Calibri" w:hAnsi="Calibri" w:cs="Calibri"/>
        <w:b/>
        <w:bCs/>
        <w:iCs/>
        <w:color w:val="003399"/>
        <w:sz w:val="20"/>
      </w:rPr>
      <w:t>.</w:t>
    </w:r>
  </w:p>
  <w:p w:rsidR="00EF30D4" w:rsidRPr="00EF30D4" w:rsidRDefault="000F6A3E" w:rsidP="00EF30D4">
    <w:pPr>
      <w:jc w:val="center"/>
    </w:pPr>
    <w:r w:rsidRPr="000F6A3E">
      <w:rPr>
        <w:rFonts w:ascii="Calibri" w:hAnsi="Calibri" w:cs="Calibri"/>
        <w:b/>
        <w:bCs/>
        <w:iCs/>
        <w:noProof/>
        <w:color w:val="003399"/>
      </w:rPr>
      <w:pict>
        <v:shapetype id="_x0000_t32" coordsize="21600,21600" o:spt="32" o:oned="t" path="m,l21600,21600e" filled="f">
          <v:path arrowok="t" fillok="f" o:connecttype="none"/>
          <o:lock v:ext="edit" shapetype="t"/>
        </v:shapetype>
        <v:shape id="_x0000_s1025" type="#_x0000_t32" style="position:absolute;left:0;text-align:left;margin-left:-25.2pt;margin-top:9.15pt;width:517.25pt;height:0;z-index:251658240" o:connectortype="straight" strokeweight=".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hybridMultilevel"/>
    <w:tmpl w:val="23F28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hdrShapeDefaults>
    <o:shapedefaults v:ext="edit" spidmax="6146"/>
    <o:shapelayout v:ext="edit">
      <o:idmap v:ext="edit" data="1"/>
      <o:rules v:ext="edit">
        <o:r id="V:Rule2" type="connector" idref="#_x0000_s1025"/>
      </o:rules>
    </o:shapelayout>
  </w:hdrShapeDefaults>
  <w:footnotePr>
    <w:footnote w:id="-1"/>
    <w:footnote w:id="0"/>
  </w:footnotePr>
  <w:endnotePr>
    <w:endnote w:id="-1"/>
    <w:endnote w:id="0"/>
  </w:endnotePr>
  <w:compat/>
  <w:rsids>
    <w:rsidRoot w:val="00A96F2E"/>
    <w:rsid w:val="00041F91"/>
    <w:rsid w:val="000F6A3E"/>
    <w:rsid w:val="00160556"/>
    <w:rsid w:val="00195357"/>
    <w:rsid w:val="0020373C"/>
    <w:rsid w:val="0021077B"/>
    <w:rsid w:val="0021087F"/>
    <w:rsid w:val="00393F99"/>
    <w:rsid w:val="0052294F"/>
    <w:rsid w:val="00573DEB"/>
    <w:rsid w:val="005A7615"/>
    <w:rsid w:val="005F7048"/>
    <w:rsid w:val="006B4C98"/>
    <w:rsid w:val="007678B5"/>
    <w:rsid w:val="007E6D0A"/>
    <w:rsid w:val="008732CB"/>
    <w:rsid w:val="008C54D6"/>
    <w:rsid w:val="00925F04"/>
    <w:rsid w:val="009A558E"/>
    <w:rsid w:val="009C1EDF"/>
    <w:rsid w:val="00A21BDE"/>
    <w:rsid w:val="00A96F2E"/>
    <w:rsid w:val="00AD2E9B"/>
    <w:rsid w:val="00BC1E61"/>
    <w:rsid w:val="00C023D2"/>
    <w:rsid w:val="00C229A7"/>
    <w:rsid w:val="00C5090D"/>
    <w:rsid w:val="00C73841"/>
    <w:rsid w:val="00DF30DE"/>
    <w:rsid w:val="00EA1BE6"/>
    <w:rsid w:val="00EF30D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2CB"/>
    <w:pPr>
      <w:spacing w:after="200" w:line="276" w:lineRule="auto"/>
    </w:pPr>
    <w:rPr>
      <w:rFonts w:eastAsiaTheme="minorEastAsi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96F2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7E6D0A"/>
    <w:rPr>
      <w:i/>
      <w:iCs/>
    </w:rPr>
  </w:style>
  <w:style w:type="paragraph" w:styleId="BalloonText">
    <w:name w:val="Balloon Text"/>
    <w:basedOn w:val="Normal"/>
    <w:link w:val="BalloonTextChar"/>
    <w:uiPriority w:val="99"/>
    <w:semiHidden/>
    <w:unhideWhenUsed/>
    <w:rsid w:val="00AD2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E9B"/>
    <w:rPr>
      <w:rFonts w:ascii="Tahoma" w:hAnsi="Tahoma" w:cs="Tahoma"/>
      <w:sz w:val="16"/>
      <w:szCs w:val="16"/>
    </w:rPr>
  </w:style>
  <w:style w:type="paragraph" w:styleId="Header">
    <w:name w:val="header"/>
    <w:basedOn w:val="Normal"/>
    <w:link w:val="HeaderChar"/>
    <w:uiPriority w:val="99"/>
    <w:unhideWhenUsed/>
    <w:rsid w:val="00EF3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0D4"/>
  </w:style>
  <w:style w:type="paragraph" w:styleId="Footer">
    <w:name w:val="footer"/>
    <w:basedOn w:val="Normal"/>
    <w:link w:val="FooterChar"/>
    <w:uiPriority w:val="99"/>
    <w:unhideWhenUsed/>
    <w:rsid w:val="00EF3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0D4"/>
  </w:style>
  <w:style w:type="character" w:styleId="IntenseReference">
    <w:name w:val="Intense Reference"/>
    <w:basedOn w:val="DefaultParagraphFont"/>
    <w:uiPriority w:val="32"/>
    <w:qFormat/>
    <w:rsid w:val="00DF30DE"/>
    <w:rPr>
      <w:b/>
      <w:bCs/>
      <w:smallCaps/>
      <w:color w:val="4472C4" w:themeColor="accent1"/>
      <w:spacing w:val="5"/>
    </w:rPr>
  </w:style>
  <w:style w:type="paragraph" w:styleId="ListParagraph">
    <w:name w:val="List Paragraph"/>
    <w:basedOn w:val="Normal"/>
    <w:uiPriority w:val="34"/>
    <w:qFormat/>
    <w:rsid w:val="008732CB"/>
    <w:pPr>
      <w:ind w:left="720"/>
      <w:contextualSpacing/>
    </w:pPr>
    <w:rPr>
      <w:rFonts w:ascii="Calibri" w:eastAsia="Calibri" w:hAnsi="Calibri" w:cs="Times New Roman"/>
      <w:lang w:val="en-US"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2</Pages>
  <Words>425</Words>
  <Characters>2427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mary</dc:creator>
  <cp:keywords/>
  <dc:description/>
  <cp:lastModifiedBy>naac</cp:lastModifiedBy>
  <cp:revision>21</cp:revision>
  <cp:lastPrinted>2021-11-29T08:57:00Z</cp:lastPrinted>
  <dcterms:created xsi:type="dcterms:W3CDTF">2021-11-29T06:47:00Z</dcterms:created>
  <dcterms:modified xsi:type="dcterms:W3CDTF">2022-02-03T10:42:00Z</dcterms:modified>
</cp:coreProperties>
</file>