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CF22" w14:textId="77777777" w:rsidR="00C37CA0" w:rsidRDefault="00C37CA0" w:rsidP="00C37CA0"/>
    <w:p w14:paraId="55B89DC3" w14:textId="77777777" w:rsidR="00633776" w:rsidRPr="00633776" w:rsidRDefault="00633776" w:rsidP="00633776">
      <w:pPr>
        <w:ind w:left="-567"/>
        <w:rPr>
          <w:rStyle w:val="style18"/>
          <w:rFonts w:ascii="Amaranth" w:hAnsi="Amaranth"/>
          <w:color w:val="C00000"/>
          <w:sz w:val="28"/>
          <w:szCs w:val="28"/>
        </w:rPr>
      </w:pPr>
      <w:r w:rsidRPr="00633776">
        <w:rPr>
          <w:rStyle w:val="style18"/>
          <w:rFonts w:ascii="Amaranth" w:hAnsi="Amaranth"/>
          <w:color w:val="C00000"/>
          <w:sz w:val="28"/>
          <w:szCs w:val="28"/>
        </w:rPr>
        <w:t>6.5.1 - Internal Quality Assurance Cell (IQAC) has contributed significantly for institutionalizing quality assurance strategies and processes visible in terms of incremental improvements made during the preceding year with regard to quality (in case of the First Cycle): Incremental improvements made during the preceding year with regard to quality and post-accreditation quality initiatives (Second and subsequent cycles) </w:t>
      </w:r>
    </w:p>
    <w:p w14:paraId="464B66EE" w14:textId="77777777" w:rsidR="00633776" w:rsidRPr="00BE3893" w:rsidRDefault="00633776" w:rsidP="00BE3893">
      <w:pPr>
        <w:ind w:left="-567"/>
        <w:rPr>
          <w:rStyle w:val="style18"/>
          <w:rFonts w:ascii="Amaranth" w:hAnsi="Amaranth"/>
          <w:color w:val="C00000"/>
          <w:sz w:val="28"/>
          <w:szCs w:val="28"/>
        </w:rPr>
      </w:pPr>
    </w:p>
    <w:p w14:paraId="0051F786" w14:textId="77777777" w:rsidR="00BE3893" w:rsidRPr="008F4574" w:rsidRDefault="00BE3893" w:rsidP="008F4574">
      <w:pPr>
        <w:ind w:left="-567"/>
        <w:rPr>
          <w:rStyle w:val="style18"/>
          <w:rFonts w:ascii="Amaranth" w:hAnsi="Amaranth"/>
          <w:color w:val="C00000"/>
          <w:sz w:val="28"/>
          <w:szCs w:val="28"/>
        </w:rPr>
      </w:pPr>
    </w:p>
    <w:p w14:paraId="0B2356D9" w14:textId="77777777" w:rsidR="008F4574" w:rsidRPr="008242B7" w:rsidRDefault="008F4574" w:rsidP="008242B7">
      <w:pPr>
        <w:ind w:left="-567"/>
        <w:rPr>
          <w:rStyle w:val="style18"/>
          <w:rFonts w:ascii="Amaranth" w:hAnsi="Amaranth"/>
          <w:color w:val="C00000"/>
          <w:sz w:val="28"/>
          <w:szCs w:val="28"/>
        </w:rPr>
      </w:pPr>
    </w:p>
    <w:p w14:paraId="65305E32" w14:textId="77777777" w:rsidR="008242B7" w:rsidRPr="008242B7" w:rsidRDefault="008242B7" w:rsidP="0099691C">
      <w:pPr>
        <w:ind w:left="-567"/>
        <w:rPr>
          <w:rStyle w:val="style18"/>
          <w:rFonts w:ascii="Amaranth" w:hAnsi="Amaranth"/>
          <w:b/>
          <w:bCs/>
          <w:color w:val="C00000"/>
          <w:sz w:val="28"/>
          <w:szCs w:val="28"/>
        </w:rPr>
      </w:pPr>
    </w:p>
    <w:p w14:paraId="28BE283D" w14:textId="77777777" w:rsidR="0099691C" w:rsidRPr="002C79C8" w:rsidRDefault="0099691C" w:rsidP="00C37CA0">
      <w:pPr>
        <w:ind w:left="-567"/>
        <w:rPr>
          <w:rStyle w:val="style18"/>
          <w:rFonts w:ascii="Amaranth" w:hAnsi="Amaranth"/>
          <w:color w:val="C00000"/>
          <w:sz w:val="28"/>
          <w:szCs w:val="28"/>
        </w:rPr>
      </w:pPr>
    </w:p>
    <w:p w14:paraId="172030AB" w14:textId="42C5049E" w:rsidR="00C37CA0" w:rsidRPr="00C37CA0" w:rsidRDefault="00C37CA0" w:rsidP="00C37CA0">
      <w:pPr>
        <w:tabs>
          <w:tab w:val="left" w:pos="1050"/>
        </w:tabs>
        <w:rPr>
          <w:rStyle w:val="style18"/>
          <w:rFonts w:ascii="Amaranth" w:hAnsi="Amaranth"/>
          <w:color w:val="C00000"/>
          <w:sz w:val="2"/>
          <w:szCs w:val="2"/>
        </w:rPr>
      </w:pPr>
      <w:r>
        <w:rPr>
          <w:rStyle w:val="style18"/>
          <w:rFonts w:ascii="Amaranth" w:hAnsi="Amaranth"/>
          <w:color w:val="C00000"/>
          <w:sz w:val="16"/>
          <w:szCs w:val="16"/>
        </w:rPr>
        <w:tab/>
      </w:r>
    </w:p>
    <w:tbl>
      <w:tblPr>
        <w:tblW w:w="9631"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3"/>
        <w:gridCol w:w="6886"/>
        <w:gridCol w:w="1842"/>
      </w:tblGrid>
      <w:tr w:rsidR="008242B7" w:rsidRPr="002C79C8" w14:paraId="70E090C2" w14:textId="77777777" w:rsidTr="008242B7">
        <w:trPr>
          <w:tblCellSpacing w:w="15"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48F7CDA3" w14:textId="77777777"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6598C4EC" w14:textId="77777777" w:rsidR="00C37CA0" w:rsidRPr="002C79C8" w:rsidRDefault="00C37CA0" w:rsidP="00523CB5">
            <w:pPr>
              <w:spacing w:before="60" w:after="60"/>
              <w:jc w:val="center"/>
              <w:rPr>
                <w:rFonts w:ascii="Amaranth" w:hAnsi="Amaranth"/>
                <w:color w:val="FFFFFF"/>
                <w:sz w:val="28"/>
                <w:szCs w:val="28"/>
              </w:rPr>
            </w:pPr>
            <w:r w:rsidRPr="002C79C8">
              <w:rPr>
                <w:rStyle w:val="Strong"/>
                <w:rFonts w:ascii="Amaranth" w:hAnsi="Amaranth"/>
                <w:b w:val="0"/>
                <w:color w:val="FFFFFF"/>
                <w:sz w:val="28"/>
                <w:szCs w:val="28"/>
              </w:rPr>
              <w:t>Data Requirement</w:t>
            </w:r>
          </w:p>
        </w:tc>
        <w:tc>
          <w:tcPr>
            <w:tcW w:w="1797"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30C7825A" w14:textId="77777777"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633776" w:rsidRPr="002C79C8" w14:paraId="519D3D6A" w14:textId="77777777" w:rsidTr="008F4574">
        <w:trPr>
          <w:trHeight w:val="49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1E490D" w14:textId="77777777" w:rsidR="00633776" w:rsidRPr="001C78EB" w:rsidRDefault="00633776" w:rsidP="00633776">
            <w:pPr>
              <w:spacing w:before="120" w:after="120" w:line="240" w:lineRule="auto"/>
              <w:ind w:left="513" w:hanging="360"/>
              <w:jc w:val="center"/>
              <w:rPr>
                <w:rFonts w:ascii="Amaranth" w:eastAsia="Calibri Light" w:hAnsi="Amaranth"/>
                <w:color w:val="003399"/>
                <w:sz w:val="24"/>
                <w:szCs w:val="26"/>
                <w:lang w:val="en-US"/>
              </w:rPr>
            </w:pPr>
            <w:r w:rsidRPr="001C78EB">
              <w:rPr>
                <w:rFonts w:ascii="Amaranth" w:eastAsia="Calibri Light" w:hAnsi="Amaranth"/>
                <w:color w:val="003399"/>
                <w:sz w:val="24"/>
                <w:szCs w:val="26"/>
                <w:lang w:val="en-US"/>
              </w:rPr>
              <w:t>1.</w:t>
            </w:r>
          </w:p>
        </w:tc>
        <w:tc>
          <w:tcPr>
            <w:tcW w:w="6856" w:type="dxa"/>
            <w:tcBorders>
              <w:top w:val="outset" w:sz="6" w:space="0" w:color="auto"/>
              <w:left w:val="outset" w:sz="6" w:space="0" w:color="auto"/>
              <w:bottom w:val="outset" w:sz="6" w:space="0" w:color="auto"/>
              <w:right w:val="outset" w:sz="6" w:space="0" w:color="auto"/>
            </w:tcBorders>
            <w:shd w:val="clear" w:color="auto" w:fill="auto"/>
          </w:tcPr>
          <w:p w14:paraId="0EE56B31" w14:textId="3A6C61B9" w:rsidR="00633776" w:rsidRPr="008F4574" w:rsidRDefault="00633776" w:rsidP="00633776">
            <w:pPr>
              <w:spacing w:before="120" w:after="120" w:line="240" w:lineRule="auto"/>
              <w:ind w:left="513" w:hanging="360"/>
              <w:rPr>
                <w:rFonts w:ascii="Amaranth" w:eastAsia="Calibri Light" w:hAnsi="Amaranth"/>
                <w:color w:val="003399"/>
                <w:sz w:val="24"/>
                <w:szCs w:val="26"/>
                <w:lang w:val="en-US"/>
              </w:rPr>
            </w:pPr>
            <w:r w:rsidRPr="00633776">
              <w:rPr>
                <w:rFonts w:ascii="Amaranth" w:eastAsia="Calibri Light" w:hAnsi="Amaranth"/>
                <w:color w:val="003399"/>
                <w:sz w:val="24"/>
                <w:szCs w:val="26"/>
                <w:lang w:val="en-US"/>
              </w:rPr>
              <w:t>IQAC - Programmes organized</w:t>
            </w:r>
          </w:p>
        </w:tc>
        <w:tc>
          <w:tcPr>
            <w:tcW w:w="1797" w:type="dxa"/>
            <w:tcBorders>
              <w:top w:val="outset" w:sz="6" w:space="0" w:color="auto"/>
              <w:left w:val="outset" w:sz="6" w:space="0" w:color="auto"/>
              <w:bottom w:val="outset" w:sz="6" w:space="0" w:color="auto"/>
              <w:right w:val="outset" w:sz="6" w:space="0" w:color="auto"/>
            </w:tcBorders>
            <w:shd w:val="clear" w:color="auto" w:fill="auto"/>
            <w:vAlign w:val="center"/>
          </w:tcPr>
          <w:p w14:paraId="124DE6D5" w14:textId="37C39A6E" w:rsidR="00633776" w:rsidRPr="002C79C8" w:rsidRDefault="00633776" w:rsidP="00633776">
            <w:pPr>
              <w:spacing w:before="60" w:after="60"/>
              <w:jc w:val="center"/>
              <w:rPr>
                <w:rFonts w:ascii="Amaranth" w:hAnsi="Amaranth"/>
                <w:sz w:val="24"/>
                <w:szCs w:val="24"/>
              </w:rPr>
            </w:pPr>
            <w:r>
              <w:rPr>
                <w:rFonts w:ascii="Amaranth" w:hAnsi="Amaranth"/>
                <w:noProof/>
                <w:sz w:val="24"/>
                <w:szCs w:val="24"/>
              </w:rPr>
              <w:drawing>
                <wp:inline distT="0" distB="0" distL="0" distR="0" wp14:anchorId="6608476C" wp14:editId="0A23579D">
                  <wp:extent cx="525294" cy="548640"/>
                  <wp:effectExtent l="0" t="0" r="8255" b="3810"/>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14" cy="550958"/>
                          </a:xfrm>
                          <a:prstGeom prst="rect">
                            <a:avLst/>
                          </a:prstGeom>
                          <a:noFill/>
                          <a:ln>
                            <a:noFill/>
                          </a:ln>
                        </pic:spPr>
                      </pic:pic>
                    </a:graphicData>
                  </a:graphic>
                </wp:inline>
              </w:drawing>
            </w:r>
          </w:p>
        </w:tc>
      </w:tr>
      <w:tr w:rsidR="00633776" w:rsidRPr="002C79C8" w14:paraId="486BF70A" w14:textId="77777777" w:rsidTr="008242B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849E2A7" w14:textId="77777777" w:rsidR="00633776" w:rsidRPr="001C78EB" w:rsidRDefault="00633776" w:rsidP="00633776">
            <w:pPr>
              <w:spacing w:before="120" w:after="120" w:line="240" w:lineRule="auto"/>
              <w:ind w:left="513" w:hanging="360"/>
              <w:jc w:val="center"/>
              <w:rPr>
                <w:rFonts w:ascii="Amaranth" w:eastAsia="Calibri Light" w:hAnsi="Amaranth"/>
                <w:color w:val="003399"/>
                <w:sz w:val="24"/>
                <w:szCs w:val="26"/>
                <w:lang w:val="en-US"/>
              </w:rPr>
            </w:pPr>
            <w:r w:rsidRPr="001C78EB">
              <w:rPr>
                <w:rFonts w:ascii="Amaranth" w:eastAsia="Calibri Light" w:hAnsi="Amaranth"/>
                <w:color w:val="003399"/>
                <w:sz w:val="24"/>
                <w:szCs w:val="26"/>
                <w:lang w:val="en-US"/>
              </w:rPr>
              <w:t>2.</w:t>
            </w:r>
          </w:p>
        </w:tc>
        <w:tc>
          <w:tcPr>
            <w:tcW w:w="6856" w:type="dxa"/>
            <w:tcBorders>
              <w:top w:val="outset" w:sz="6" w:space="0" w:color="auto"/>
              <w:left w:val="outset" w:sz="6" w:space="0" w:color="auto"/>
              <w:bottom w:val="outset" w:sz="6" w:space="0" w:color="auto"/>
              <w:right w:val="outset" w:sz="6" w:space="0" w:color="auto"/>
            </w:tcBorders>
            <w:shd w:val="clear" w:color="auto" w:fill="auto"/>
          </w:tcPr>
          <w:p w14:paraId="6588DDA8" w14:textId="3E33E679" w:rsidR="00633776" w:rsidRPr="001C78EB" w:rsidRDefault="00633776" w:rsidP="00633776">
            <w:pPr>
              <w:spacing w:before="120" w:after="120" w:line="240" w:lineRule="auto"/>
              <w:ind w:left="513" w:hanging="360"/>
              <w:rPr>
                <w:rFonts w:ascii="Amaranth" w:eastAsia="Calibri Light" w:hAnsi="Amaranth"/>
                <w:color w:val="003399"/>
                <w:sz w:val="24"/>
                <w:szCs w:val="26"/>
                <w:lang w:val="en-US"/>
              </w:rPr>
            </w:pPr>
            <w:r w:rsidRPr="00633776">
              <w:rPr>
                <w:rFonts w:ascii="Amaranth" w:eastAsia="Calibri Light" w:hAnsi="Amaranth"/>
                <w:color w:val="003399"/>
                <w:sz w:val="24"/>
                <w:szCs w:val="26"/>
                <w:lang w:val="en-US"/>
              </w:rPr>
              <w:t xml:space="preserve">IQAC – </w:t>
            </w:r>
            <w:proofErr w:type="spellStart"/>
            <w:r w:rsidRPr="00633776">
              <w:rPr>
                <w:rFonts w:ascii="Amaranth" w:eastAsia="Calibri Light" w:hAnsi="Amaranth"/>
                <w:color w:val="003399"/>
                <w:sz w:val="24"/>
                <w:szCs w:val="26"/>
                <w:lang w:val="en-US"/>
              </w:rPr>
              <w:t>MoUs</w:t>
            </w:r>
            <w:proofErr w:type="spellEnd"/>
            <w:r w:rsidRPr="00633776">
              <w:rPr>
                <w:rFonts w:ascii="Amaranth" w:eastAsia="Calibri Light" w:hAnsi="Amaranth"/>
                <w:color w:val="003399"/>
                <w:sz w:val="24"/>
                <w:szCs w:val="26"/>
                <w:lang w:val="en-US"/>
              </w:rPr>
              <w:t xml:space="preserve"> &amp; Webinars</w:t>
            </w:r>
          </w:p>
        </w:tc>
        <w:tc>
          <w:tcPr>
            <w:tcW w:w="1797" w:type="dxa"/>
            <w:tcBorders>
              <w:top w:val="outset" w:sz="6" w:space="0" w:color="auto"/>
              <w:left w:val="outset" w:sz="6" w:space="0" w:color="auto"/>
              <w:bottom w:val="outset" w:sz="6" w:space="0" w:color="auto"/>
              <w:right w:val="outset" w:sz="6" w:space="0" w:color="auto"/>
            </w:tcBorders>
            <w:shd w:val="clear" w:color="auto" w:fill="auto"/>
            <w:vAlign w:val="center"/>
          </w:tcPr>
          <w:p w14:paraId="4EAC70B0" w14:textId="19039796" w:rsidR="00633776" w:rsidRPr="002C79C8" w:rsidRDefault="00633776" w:rsidP="00633776">
            <w:pPr>
              <w:spacing w:before="60" w:after="60"/>
              <w:jc w:val="center"/>
              <w:rPr>
                <w:rFonts w:ascii="Amaranth" w:hAnsi="Amaranth"/>
                <w:sz w:val="24"/>
                <w:szCs w:val="24"/>
              </w:rPr>
            </w:pPr>
            <w:r>
              <w:rPr>
                <w:rFonts w:ascii="Amaranth" w:hAnsi="Amaranth"/>
                <w:noProof/>
                <w:sz w:val="24"/>
                <w:szCs w:val="24"/>
              </w:rPr>
              <w:drawing>
                <wp:inline distT="0" distB="0" distL="0" distR="0" wp14:anchorId="108BF85E" wp14:editId="4FDF7D3E">
                  <wp:extent cx="525294" cy="548640"/>
                  <wp:effectExtent l="0" t="0" r="8255" b="381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14" cy="550958"/>
                          </a:xfrm>
                          <a:prstGeom prst="rect">
                            <a:avLst/>
                          </a:prstGeom>
                          <a:noFill/>
                          <a:ln>
                            <a:noFill/>
                          </a:ln>
                        </pic:spPr>
                      </pic:pic>
                    </a:graphicData>
                  </a:graphic>
                </wp:inline>
              </w:drawing>
            </w:r>
          </w:p>
        </w:tc>
      </w:tr>
      <w:tr w:rsidR="00633776" w:rsidRPr="002C79C8" w14:paraId="6D9AC74D" w14:textId="77777777" w:rsidTr="008242B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DDDCC58" w14:textId="029E8C05" w:rsidR="00633776" w:rsidRPr="001C78EB" w:rsidRDefault="00633776" w:rsidP="00633776">
            <w:pPr>
              <w:spacing w:before="120" w:after="120" w:line="240" w:lineRule="auto"/>
              <w:ind w:left="513" w:hanging="360"/>
              <w:jc w:val="center"/>
              <w:rPr>
                <w:rFonts w:ascii="Amaranth" w:eastAsia="Calibri Light" w:hAnsi="Amaranth"/>
                <w:color w:val="003399"/>
                <w:sz w:val="24"/>
                <w:szCs w:val="26"/>
                <w:lang w:val="en-US"/>
              </w:rPr>
            </w:pPr>
            <w:r>
              <w:rPr>
                <w:rFonts w:ascii="Amaranth" w:eastAsia="Calibri Light" w:hAnsi="Amaranth"/>
                <w:color w:val="003399"/>
                <w:sz w:val="24"/>
                <w:szCs w:val="26"/>
                <w:lang w:val="en-US"/>
              </w:rPr>
              <w:t>3.</w:t>
            </w:r>
          </w:p>
        </w:tc>
        <w:tc>
          <w:tcPr>
            <w:tcW w:w="6856" w:type="dxa"/>
            <w:tcBorders>
              <w:top w:val="outset" w:sz="6" w:space="0" w:color="auto"/>
              <w:left w:val="outset" w:sz="6" w:space="0" w:color="auto"/>
              <w:bottom w:val="outset" w:sz="6" w:space="0" w:color="auto"/>
              <w:right w:val="outset" w:sz="6" w:space="0" w:color="auto"/>
            </w:tcBorders>
            <w:shd w:val="clear" w:color="auto" w:fill="auto"/>
          </w:tcPr>
          <w:p w14:paraId="00F5182D" w14:textId="51EB5562" w:rsidR="00633776" w:rsidRPr="00BE3893" w:rsidRDefault="00633776" w:rsidP="00633776">
            <w:pPr>
              <w:spacing w:before="120" w:after="120" w:line="240" w:lineRule="auto"/>
              <w:ind w:left="513" w:hanging="360"/>
              <w:rPr>
                <w:rFonts w:ascii="Amaranth" w:eastAsia="Calibri Light" w:hAnsi="Amaranth"/>
                <w:color w:val="003399"/>
                <w:sz w:val="24"/>
                <w:szCs w:val="26"/>
                <w:lang w:val="en-US"/>
              </w:rPr>
            </w:pPr>
            <w:r w:rsidRPr="00633776">
              <w:rPr>
                <w:rFonts w:ascii="Amaranth" w:eastAsia="Calibri Light" w:hAnsi="Amaranth"/>
                <w:color w:val="003399"/>
                <w:sz w:val="24"/>
                <w:szCs w:val="26"/>
                <w:lang w:val="en-US"/>
              </w:rPr>
              <w:t>External Audit</w:t>
            </w:r>
          </w:p>
        </w:tc>
        <w:tc>
          <w:tcPr>
            <w:tcW w:w="1797" w:type="dxa"/>
            <w:tcBorders>
              <w:top w:val="outset" w:sz="6" w:space="0" w:color="auto"/>
              <w:left w:val="outset" w:sz="6" w:space="0" w:color="auto"/>
              <w:bottom w:val="outset" w:sz="6" w:space="0" w:color="auto"/>
              <w:right w:val="outset" w:sz="6" w:space="0" w:color="auto"/>
            </w:tcBorders>
            <w:shd w:val="clear" w:color="auto" w:fill="auto"/>
            <w:vAlign w:val="center"/>
          </w:tcPr>
          <w:p w14:paraId="55AD1F68" w14:textId="4953E108" w:rsidR="00633776" w:rsidRDefault="00633776" w:rsidP="00633776">
            <w:pPr>
              <w:spacing w:before="60" w:after="60"/>
              <w:jc w:val="center"/>
              <w:rPr>
                <w:rFonts w:ascii="Amaranth" w:hAnsi="Amaranth"/>
                <w:noProof/>
                <w:sz w:val="24"/>
                <w:szCs w:val="24"/>
              </w:rPr>
            </w:pPr>
            <w:r>
              <w:rPr>
                <w:rFonts w:ascii="Amaranth" w:hAnsi="Amaranth"/>
                <w:noProof/>
                <w:sz w:val="24"/>
                <w:szCs w:val="24"/>
              </w:rPr>
              <w:drawing>
                <wp:inline distT="0" distB="0" distL="0" distR="0" wp14:anchorId="31ECC6AD" wp14:editId="337C8341">
                  <wp:extent cx="525294" cy="548640"/>
                  <wp:effectExtent l="0" t="0" r="8255" b="3810"/>
                  <wp:docPr id="12" name="Pictur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1"/>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14" cy="550958"/>
                          </a:xfrm>
                          <a:prstGeom prst="rect">
                            <a:avLst/>
                          </a:prstGeom>
                          <a:noFill/>
                          <a:ln>
                            <a:noFill/>
                          </a:ln>
                        </pic:spPr>
                      </pic:pic>
                    </a:graphicData>
                  </a:graphic>
                </wp:inline>
              </w:drawing>
            </w:r>
          </w:p>
        </w:tc>
      </w:tr>
    </w:tbl>
    <w:p w14:paraId="58ABEB63" w14:textId="77777777" w:rsidR="00C37CA0" w:rsidRPr="002C79C8" w:rsidRDefault="00C37CA0" w:rsidP="00C37CA0">
      <w:pPr>
        <w:rPr>
          <w:rStyle w:val="style18"/>
          <w:rFonts w:ascii="Amaranth" w:hAnsi="Amaranth"/>
          <w:color w:val="C00000"/>
          <w:sz w:val="28"/>
          <w:szCs w:val="28"/>
        </w:rPr>
      </w:pPr>
    </w:p>
    <w:p w14:paraId="56722C66" w14:textId="77777777" w:rsidR="00C37CA0" w:rsidRDefault="00C37CA0" w:rsidP="00C37CA0">
      <w:pPr>
        <w:rPr>
          <w:rStyle w:val="style18"/>
          <w:rFonts w:ascii="Cambria Math" w:hAnsi="Cambria Math"/>
          <w:b/>
          <w:color w:val="C00000"/>
          <w:sz w:val="28"/>
          <w:szCs w:val="28"/>
        </w:rPr>
      </w:pPr>
    </w:p>
    <w:p w14:paraId="0E00D996" w14:textId="77777777" w:rsidR="00633776" w:rsidRDefault="00633776" w:rsidP="00365ABA"/>
    <w:p w14:paraId="7C3E3829" w14:textId="77777777" w:rsidR="00365ABA" w:rsidRDefault="00365ABA" w:rsidP="00E33A0F"/>
    <w:p w14:paraId="1B9137C4" w14:textId="1FD8E4A0" w:rsidR="00FD5DBF" w:rsidRDefault="00FD5DBF" w:rsidP="00E33A0F">
      <w:pPr>
        <w:spacing w:after="360"/>
        <w:rPr>
          <w:rFonts w:ascii="Amaranth" w:hAnsi="Amaranth"/>
          <w:color w:val="C00000"/>
          <w:sz w:val="30"/>
          <w:szCs w:val="30"/>
        </w:rPr>
      </w:pPr>
    </w:p>
    <w:sectPr w:rsidR="00FD5DBF" w:rsidSect="00C713B1">
      <w:headerReference w:type="default" r:id="rId12"/>
      <w:footerReference w:type="default" r:id="rId13"/>
      <w:pgSz w:w="11906" w:h="16838"/>
      <w:pgMar w:top="1716"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69831" w14:textId="77777777" w:rsidR="003E4D54" w:rsidRDefault="003E4D54" w:rsidP="00EF30D4">
      <w:pPr>
        <w:spacing w:after="0" w:line="240" w:lineRule="auto"/>
      </w:pPr>
      <w:r>
        <w:separator/>
      </w:r>
    </w:p>
  </w:endnote>
  <w:endnote w:type="continuationSeparator" w:id="0">
    <w:p w14:paraId="5D082AE5" w14:textId="77777777" w:rsidR="003E4D54" w:rsidRDefault="003E4D54" w:rsidP="00EF3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ranth">
    <w:panose1 w:val="02000503050000020004"/>
    <w:charset w:val="00"/>
    <w:family w:val="auto"/>
    <w:pitch w:val="variable"/>
    <w:sig w:usb0="A0000027" w:usb1="00000043"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2EBC" w14:textId="4359D804"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xml:space="preserve">) (2020 </w:t>
    </w:r>
    <w:r w:rsidR="00F6021A">
      <w:rPr>
        <w:rFonts w:cs="Calibri"/>
        <w:b/>
        <w:bCs/>
        <w:iCs/>
        <w:color w:val="0D0D0D"/>
        <w:sz w:val="20"/>
        <w:szCs w:val="20"/>
      </w:rPr>
      <w:t>-</w:t>
    </w:r>
    <w:r w:rsidRPr="00EF30D4">
      <w:rPr>
        <w:rFonts w:cs="Calibri"/>
        <w:b/>
        <w:bCs/>
        <w:iCs/>
        <w:color w:val="0D0D0D"/>
        <w:sz w:val="20"/>
        <w:szCs w:val="20"/>
      </w:rPr>
      <w:t xml:space="preserve"> 2021)</w:t>
    </w:r>
    <w:r>
      <w:rPr>
        <w:rFonts w:asciiTheme="majorHAnsi" w:hAnsiTheme="majorHAnsi"/>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19A9" w14:textId="77777777" w:rsidR="003E4D54" w:rsidRDefault="003E4D54" w:rsidP="00EF30D4">
      <w:pPr>
        <w:spacing w:after="0" w:line="240" w:lineRule="auto"/>
      </w:pPr>
      <w:r>
        <w:separator/>
      </w:r>
    </w:p>
  </w:footnote>
  <w:footnote w:type="continuationSeparator" w:id="0">
    <w:p w14:paraId="3994E890" w14:textId="77777777" w:rsidR="003E4D54" w:rsidRDefault="003E4D54" w:rsidP="00EF3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DD76" w14:textId="22FBF5B9"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val="en-US" w:bidi="en-US"/>
      </w:rPr>
      <w:drawing>
        <wp:anchor distT="0" distB="0" distL="114300" distR="114300" simplePos="0" relativeHeight="251657216" behindDoc="0" locked="0" layoutInCell="1" allowOverlap="1" wp14:anchorId="38CC6856" wp14:editId="3434DA8D">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362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BAF">
      <w:rPr>
        <w:rStyle w:val="IntenseReference"/>
        <w:rFonts w:eastAsia="Times New Roman" w:cs="Latha"/>
        <w:noProof/>
        <w:color w:val="003399"/>
        <w:spacing w:val="20"/>
        <w:w w:val="150"/>
        <w:kern w:val="28"/>
        <w:sz w:val="48"/>
        <w:szCs w:val="48"/>
        <w:u w:val="none"/>
        <w:lang w:val="en-US" w:bidi="en-US"/>
      </w:rPr>
      <w:drawing>
        <wp:anchor distT="0" distB="0" distL="114300" distR="114300" simplePos="0" relativeHeight="251658240" behindDoc="0" locked="0" layoutInCell="1" allowOverlap="1" wp14:anchorId="2D2B93B6" wp14:editId="20309B38">
          <wp:simplePos x="0" y="0"/>
          <wp:positionH relativeFrom="column">
            <wp:posOffset>4667250</wp:posOffset>
          </wp:positionH>
          <wp:positionV relativeFrom="paragraph">
            <wp:posOffset>58420</wp:posOffset>
          </wp:positionV>
          <wp:extent cx="1573530" cy="1057910"/>
          <wp:effectExtent l="0" t="0" r="7620" b="8890"/>
          <wp:wrapNone/>
          <wp:docPr id="8" name="Picture 8"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rotWithShape="1">
                  <a:blip r:embed="rId2"/>
                  <a:srcRect l="4991" t="9838" r="1086" b="9231"/>
                  <a:stretch/>
                </pic:blipFill>
                <pic:spPr bwMode="auto">
                  <a:xfrm>
                    <a:off x="0" y="0"/>
                    <a:ext cx="1573530" cy="105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D54">
      <w:rPr>
        <w:rFonts w:eastAsia="Times New Roman" w:cs="Latha"/>
        <w:b/>
        <w:bCs/>
        <w:smallCaps/>
        <w:noProof/>
        <w:color w:val="003399"/>
        <w:spacing w:val="20"/>
        <w:kern w:val="28"/>
        <w:sz w:val="48"/>
        <w:szCs w:val="48"/>
        <w:lang w:val="en-US" w:bidi="en-US"/>
      </w:rPr>
      <w:pict w14:anchorId="15B4A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1025" type="#_x0000_t75" style="position:absolute;left:0;text-align:left;margin-left:0;margin-top:0;width:383.85pt;height:382.7pt;z-index:-251657216;mso-position-horizontal:center;mso-position-horizontal-relative:margin;mso-position-vertical:center;mso-position-vertical-relative:margin" o:allowincell="f">
          <v:imagedata r:id="rId3"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14:paraId="7B7AB2D5" w14:textId="219051A1" w:rsidR="00C713B1" w:rsidRPr="0044021E" w:rsidRDefault="00C713B1" w:rsidP="00C713B1">
    <w:pPr>
      <w:spacing w:before="60" w:after="0" w:line="240" w:lineRule="auto"/>
      <w:jc w:val="center"/>
      <w:rPr>
        <w:b/>
        <w:i/>
        <w:color w:val="C00000"/>
        <w:sz w:val="20"/>
        <w:szCs w:val="20"/>
      </w:rPr>
    </w:pPr>
    <w:r w:rsidRPr="0044021E">
      <w:rPr>
        <w:rFonts w:cs="Calibri"/>
        <w:b/>
        <w:bCs/>
        <w:i/>
        <w:iCs/>
        <w:color w:val="C00000"/>
        <w:sz w:val="20"/>
      </w:rPr>
      <w:t xml:space="preserve">Re-Accredited with ‘A++’ (CGPA 3.61) by NAAC (Cycle - IV) </w:t>
    </w:r>
    <w:r w:rsidRPr="0044021E">
      <w:rPr>
        <w:rFonts w:cs="Calibri"/>
        <w:b/>
        <w:bCs/>
        <w:i/>
        <w:iCs/>
        <w:color w:val="C00000"/>
        <w:sz w:val="20"/>
      </w:rPr>
      <w:br/>
      <w:t>College with Potential for Excellence (2004 - 2019)</w:t>
    </w:r>
    <w:r w:rsidRPr="0044021E">
      <w:rPr>
        <w:rFonts w:cs="Calibri"/>
        <w:b/>
        <w:bCs/>
        <w:i/>
        <w:iCs/>
        <w:color w:val="C00000"/>
        <w:sz w:val="20"/>
      </w:rPr>
      <w:br/>
    </w:r>
    <w:r w:rsidRPr="0044021E">
      <w:rPr>
        <w:rFonts w:cs="Calibri"/>
        <w:b/>
        <w:i/>
        <w:iCs/>
        <w:color w:val="C00000"/>
        <w:sz w:val="20"/>
        <w:szCs w:val="20"/>
      </w:rPr>
      <w:t>101 – 150 Rank Band in India Ranking 2021 (NIRF)</w:t>
    </w:r>
    <w:r>
      <w:rPr>
        <w:b/>
        <w:i/>
        <w:color w:val="C00000"/>
        <w:sz w:val="20"/>
        <w:szCs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w:t>
    </w:r>
    <w:r>
      <w:rPr>
        <w:rFonts w:cs="Calibri"/>
        <w:b/>
        <w:bCs/>
        <w:iCs/>
        <w:color w:val="003399"/>
        <w:sz w:val="20"/>
      </w:rPr>
      <w:t xml:space="preserve"> </w:t>
    </w:r>
    <w:r w:rsidRPr="00393F99">
      <w:rPr>
        <w:rFonts w:cs="Calibri"/>
        <w:b/>
        <w:bCs/>
        <w:iCs/>
        <w:color w:val="003399"/>
        <w:sz w:val="20"/>
      </w:rPr>
      <w:t>018, Tamil Nadu</w:t>
    </w:r>
  </w:p>
  <w:p w14:paraId="0C8BA733" w14:textId="38985BF0" w:rsidR="00EF30D4" w:rsidRPr="00C713B1" w:rsidRDefault="002B6BFE" w:rsidP="00C713B1">
    <w:pPr>
      <w:pStyle w:val="Header"/>
    </w:pPr>
    <w:r>
      <w:rPr>
        <w:rFonts w:cs="Calibri"/>
        <w:b/>
        <w:bCs/>
        <w:iCs/>
        <w:noProof/>
        <w:color w:val="003399"/>
        <w:sz w:val="34"/>
        <w:szCs w:val="34"/>
        <w:lang w:eastAsia="en-IN"/>
      </w:rPr>
      <mc:AlternateContent>
        <mc:Choice Requires="wps">
          <w:drawing>
            <wp:anchor distT="0" distB="0" distL="114300" distR="114300" simplePos="0" relativeHeight="251656192" behindDoc="0" locked="0" layoutInCell="1" allowOverlap="1" wp14:anchorId="6E108F50" wp14:editId="6460448F">
              <wp:simplePos x="0" y="0"/>
              <wp:positionH relativeFrom="margin">
                <wp:posOffset>-368935</wp:posOffset>
              </wp:positionH>
              <wp:positionV relativeFrom="margin">
                <wp:posOffset>-100330</wp:posOffset>
              </wp:positionV>
              <wp:extent cx="6569075" cy="0"/>
              <wp:effectExtent l="0" t="0" r="0" b="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C0C32" id="_x0000_t32" coordsize="21600,21600" o:spt="32" o:oned="t" path="m,l21600,21600e" filled="f">
              <v:path arrowok="t" fillok="f" o:connecttype="none"/>
              <o:lock v:ext="edit" shapetype="t"/>
            </v:shapetype>
            <v:shape id="AutoShape 2" o:spid="_x0000_s1026" type="#_x0000_t32" style="position:absolute;margin-left:-29.05pt;margin-top:-7.9pt;width:517.2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1B5654"/>
    <w:multiLevelType w:val="hybridMultilevel"/>
    <w:tmpl w:val="2624B88E"/>
    <w:lvl w:ilvl="0" w:tplc="40090001">
      <w:start w:val="1"/>
      <w:numFmt w:val="bullet"/>
      <w:lvlText w:val=""/>
      <w:lvlJc w:val="left"/>
      <w:pPr>
        <w:ind w:left="873" w:hanging="360"/>
      </w:pPr>
      <w:rPr>
        <w:rFonts w:ascii="Symbol" w:hAnsi="Symbol" w:hint="default"/>
      </w:rPr>
    </w:lvl>
    <w:lvl w:ilvl="1" w:tplc="40090003">
      <w:start w:val="1"/>
      <w:numFmt w:val="bullet"/>
      <w:lvlText w:val="o"/>
      <w:lvlJc w:val="left"/>
      <w:pPr>
        <w:ind w:left="1593" w:hanging="360"/>
      </w:pPr>
      <w:rPr>
        <w:rFonts w:ascii="Courier New" w:hAnsi="Courier New" w:cs="Courier New" w:hint="default"/>
      </w:rPr>
    </w:lvl>
    <w:lvl w:ilvl="2" w:tplc="40090005" w:tentative="1">
      <w:start w:val="1"/>
      <w:numFmt w:val="bullet"/>
      <w:lvlText w:val=""/>
      <w:lvlJc w:val="left"/>
      <w:pPr>
        <w:ind w:left="2313" w:hanging="360"/>
      </w:pPr>
      <w:rPr>
        <w:rFonts w:ascii="Wingdings" w:hAnsi="Wingdings" w:hint="default"/>
      </w:rPr>
    </w:lvl>
    <w:lvl w:ilvl="3" w:tplc="40090001" w:tentative="1">
      <w:start w:val="1"/>
      <w:numFmt w:val="bullet"/>
      <w:lvlText w:val=""/>
      <w:lvlJc w:val="left"/>
      <w:pPr>
        <w:ind w:left="3033" w:hanging="360"/>
      </w:pPr>
      <w:rPr>
        <w:rFonts w:ascii="Symbol" w:hAnsi="Symbol" w:hint="default"/>
      </w:rPr>
    </w:lvl>
    <w:lvl w:ilvl="4" w:tplc="40090003" w:tentative="1">
      <w:start w:val="1"/>
      <w:numFmt w:val="bullet"/>
      <w:lvlText w:val="o"/>
      <w:lvlJc w:val="left"/>
      <w:pPr>
        <w:ind w:left="3753" w:hanging="360"/>
      </w:pPr>
      <w:rPr>
        <w:rFonts w:ascii="Courier New" w:hAnsi="Courier New" w:cs="Courier New" w:hint="default"/>
      </w:rPr>
    </w:lvl>
    <w:lvl w:ilvl="5" w:tplc="40090005" w:tentative="1">
      <w:start w:val="1"/>
      <w:numFmt w:val="bullet"/>
      <w:lvlText w:val=""/>
      <w:lvlJc w:val="left"/>
      <w:pPr>
        <w:ind w:left="4473" w:hanging="360"/>
      </w:pPr>
      <w:rPr>
        <w:rFonts w:ascii="Wingdings" w:hAnsi="Wingdings" w:hint="default"/>
      </w:rPr>
    </w:lvl>
    <w:lvl w:ilvl="6" w:tplc="40090001" w:tentative="1">
      <w:start w:val="1"/>
      <w:numFmt w:val="bullet"/>
      <w:lvlText w:val=""/>
      <w:lvlJc w:val="left"/>
      <w:pPr>
        <w:ind w:left="5193" w:hanging="360"/>
      </w:pPr>
      <w:rPr>
        <w:rFonts w:ascii="Symbol" w:hAnsi="Symbol" w:hint="default"/>
      </w:rPr>
    </w:lvl>
    <w:lvl w:ilvl="7" w:tplc="40090003" w:tentative="1">
      <w:start w:val="1"/>
      <w:numFmt w:val="bullet"/>
      <w:lvlText w:val="o"/>
      <w:lvlJc w:val="left"/>
      <w:pPr>
        <w:ind w:left="5913" w:hanging="360"/>
      </w:pPr>
      <w:rPr>
        <w:rFonts w:ascii="Courier New" w:hAnsi="Courier New" w:cs="Courier New" w:hint="default"/>
      </w:rPr>
    </w:lvl>
    <w:lvl w:ilvl="8" w:tplc="40090005" w:tentative="1">
      <w:start w:val="1"/>
      <w:numFmt w:val="bullet"/>
      <w:lvlText w:val=""/>
      <w:lvlJc w:val="left"/>
      <w:pPr>
        <w:ind w:left="6633" w:hanging="360"/>
      </w:pPr>
      <w:rPr>
        <w:rFonts w:ascii="Wingdings" w:hAnsi="Wingdings" w:hint="default"/>
      </w:rPr>
    </w:lvl>
  </w:abstractNum>
  <w:abstractNum w:abstractNumId="2" w15:restartNumberingAfterBreak="0">
    <w:nsid w:val="61B400E1"/>
    <w:multiLevelType w:val="hybridMultilevel"/>
    <w:tmpl w:val="C096C84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2FC37E0"/>
    <w:multiLevelType w:val="hybridMultilevel"/>
    <w:tmpl w:val="9AE6E3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2E"/>
    <w:rsid w:val="00095CEC"/>
    <w:rsid w:val="000C7AAB"/>
    <w:rsid w:val="000E2BC1"/>
    <w:rsid w:val="00177442"/>
    <w:rsid w:val="00195357"/>
    <w:rsid w:val="001E4322"/>
    <w:rsid w:val="0020373C"/>
    <w:rsid w:val="0021077B"/>
    <w:rsid w:val="0023753D"/>
    <w:rsid w:val="00283424"/>
    <w:rsid w:val="00296992"/>
    <w:rsid w:val="002B6BFE"/>
    <w:rsid w:val="00365ABA"/>
    <w:rsid w:val="00375B11"/>
    <w:rsid w:val="00393F99"/>
    <w:rsid w:val="003C3ED0"/>
    <w:rsid w:val="003C4878"/>
    <w:rsid w:val="003E4D54"/>
    <w:rsid w:val="00420BAF"/>
    <w:rsid w:val="00473206"/>
    <w:rsid w:val="0047388D"/>
    <w:rsid w:val="0050034A"/>
    <w:rsid w:val="0052294F"/>
    <w:rsid w:val="00573DEB"/>
    <w:rsid w:val="00576D5B"/>
    <w:rsid w:val="005A7615"/>
    <w:rsid w:val="005E0032"/>
    <w:rsid w:val="0061040E"/>
    <w:rsid w:val="00633776"/>
    <w:rsid w:val="00652B64"/>
    <w:rsid w:val="006B4C98"/>
    <w:rsid w:val="006F4B8F"/>
    <w:rsid w:val="006F7F14"/>
    <w:rsid w:val="00741AB3"/>
    <w:rsid w:val="00786361"/>
    <w:rsid w:val="007E6D0A"/>
    <w:rsid w:val="00812707"/>
    <w:rsid w:val="008242B7"/>
    <w:rsid w:val="00842BFF"/>
    <w:rsid w:val="008922B9"/>
    <w:rsid w:val="008C54D6"/>
    <w:rsid w:val="008F4574"/>
    <w:rsid w:val="008F5EDD"/>
    <w:rsid w:val="0096520F"/>
    <w:rsid w:val="0099691C"/>
    <w:rsid w:val="00997271"/>
    <w:rsid w:val="009A221B"/>
    <w:rsid w:val="009A558E"/>
    <w:rsid w:val="009C68B9"/>
    <w:rsid w:val="009F19B1"/>
    <w:rsid w:val="00A21BDE"/>
    <w:rsid w:val="00A32E65"/>
    <w:rsid w:val="00A40404"/>
    <w:rsid w:val="00A96F2E"/>
    <w:rsid w:val="00AB6706"/>
    <w:rsid w:val="00AD2E9B"/>
    <w:rsid w:val="00AE46B5"/>
    <w:rsid w:val="00BC1E61"/>
    <w:rsid w:val="00BD3551"/>
    <w:rsid w:val="00BE3893"/>
    <w:rsid w:val="00C023D2"/>
    <w:rsid w:val="00C229A7"/>
    <w:rsid w:val="00C37CA0"/>
    <w:rsid w:val="00C5090D"/>
    <w:rsid w:val="00C713B1"/>
    <w:rsid w:val="00CB52E7"/>
    <w:rsid w:val="00CF2ACC"/>
    <w:rsid w:val="00DD4C28"/>
    <w:rsid w:val="00E163A2"/>
    <w:rsid w:val="00E2665E"/>
    <w:rsid w:val="00E33A0F"/>
    <w:rsid w:val="00E36FB5"/>
    <w:rsid w:val="00EA1BE6"/>
    <w:rsid w:val="00EC61EB"/>
    <w:rsid w:val="00EF30D4"/>
    <w:rsid w:val="00F15E9B"/>
    <w:rsid w:val="00F6021A"/>
    <w:rsid w:val="00FD5DBF"/>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3A560"/>
  <w15:docId w15:val="{4B86A715-280A-411B-8873-3C214764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 w:type="character" w:styleId="Hyperlink">
    <w:name w:val="Hyperlink"/>
    <w:basedOn w:val="DefaultParagraphFont"/>
    <w:uiPriority w:val="99"/>
    <w:unhideWhenUsed/>
    <w:rsid w:val="008F4574"/>
    <w:rPr>
      <w:color w:val="0563C1" w:themeColor="hyperlink"/>
      <w:u w:val="single"/>
    </w:rPr>
  </w:style>
  <w:style w:type="character" w:styleId="UnresolvedMention">
    <w:name w:val="Unresolved Mention"/>
    <w:basedOn w:val="DefaultParagraphFont"/>
    <w:uiPriority w:val="99"/>
    <w:semiHidden/>
    <w:unhideWhenUsed/>
    <w:rsid w:val="008F4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timacollegemdu.org/AQAR/C-36529/2020-2021/C-6/6.5.1/6.5.1-SD1.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timacollegemdu.org/AQAR/C-36529/2020-2021/C-6/6.5.1/6.5.1-SD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atimacollegemdu.org/AQAR/C-36529/2020-2021/C-6/6.5.1/6.5.1-SD2.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480B-0EAE-49DB-9772-88DFCB6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Varun</cp:lastModifiedBy>
  <cp:revision>2</cp:revision>
  <cp:lastPrinted>2022-03-27T15:38:00Z</cp:lastPrinted>
  <dcterms:created xsi:type="dcterms:W3CDTF">2022-03-27T15:50:00Z</dcterms:created>
  <dcterms:modified xsi:type="dcterms:W3CDTF">2022-03-27T15:50:00Z</dcterms:modified>
</cp:coreProperties>
</file>