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03D" w:rsidRPr="002B3559" w:rsidRDefault="0032203D" w:rsidP="0032203D">
      <w:pPr>
        <w:tabs>
          <w:tab w:val="left" w:pos="567"/>
        </w:tabs>
        <w:spacing w:before="240" w:after="240" w:line="360" w:lineRule="auto"/>
        <w:ind w:right="423"/>
        <w:jc w:val="both"/>
        <w:rPr>
          <w:rFonts w:ascii="Bookman Old Style" w:hAnsi="Bookman Old Style"/>
          <w:b/>
          <w:sz w:val="24"/>
          <w:szCs w:val="24"/>
        </w:rPr>
      </w:pPr>
      <w:r w:rsidRPr="002B3559">
        <w:rPr>
          <w:rFonts w:ascii="Bookman Old Style" w:hAnsi="Bookman Old Style"/>
          <w:b/>
          <w:sz w:val="24"/>
          <w:szCs w:val="24"/>
        </w:rPr>
        <w:t xml:space="preserve">6.4.1 The institution conducts internal and external financial audits regularly.                  </w:t>
      </w:r>
    </w:p>
    <w:p w:rsidR="0032203D" w:rsidRPr="002B3559" w:rsidRDefault="0032203D" w:rsidP="0032203D">
      <w:pPr>
        <w:tabs>
          <w:tab w:val="left" w:pos="567"/>
        </w:tabs>
        <w:spacing w:before="240" w:after="240" w:line="360" w:lineRule="auto"/>
        <w:ind w:right="423"/>
        <w:jc w:val="both"/>
        <w:rPr>
          <w:rFonts w:ascii="Bookman Old Style" w:hAnsi="Bookman Old Style"/>
          <w:b/>
          <w:sz w:val="24"/>
          <w:szCs w:val="24"/>
        </w:rPr>
      </w:pPr>
      <w:r w:rsidRPr="002B3559">
        <w:rPr>
          <w:rFonts w:ascii="Bookman Old Style" w:hAnsi="Bookman Old Style"/>
          <w:b/>
          <w:sz w:val="24"/>
          <w:szCs w:val="24"/>
        </w:rPr>
        <w:t>Response:</w:t>
      </w:r>
    </w:p>
    <w:p w:rsidR="0032203D" w:rsidRPr="002B3559" w:rsidRDefault="0032203D" w:rsidP="0032203D">
      <w:pPr>
        <w:tabs>
          <w:tab w:val="left" w:pos="567"/>
        </w:tabs>
        <w:spacing w:before="240" w:after="240" w:line="360" w:lineRule="auto"/>
        <w:ind w:right="423"/>
        <w:jc w:val="both"/>
        <w:rPr>
          <w:rFonts w:ascii="Bookman Old Style" w:hAnsi="Bookman Old Style"/>
          <w:sz w:val="24"/>
          <w:szCs w:val="24"/>
        </w:rPr>
      </w:pPr>
      <w:r w:rsidRPr="002B3559">
        <w:rPr>
          <w:rFonts w:ascii="Bookman Old Style" w:hAnsi="Bookman Old Style"/>
          <w:sz w:val="24"/>
          <w:szCs w:val="24"/>
        </w:rPr>
        <w:tab/>
        <w:t xml:space="preserve">Fatima College (Autonomous) Madurai is aided by the Government of Tamil Nadu and the University Grants Commission. </w:t>
      </w:r>
      <w:r w:rsidRPr="002B3559">
        <w:rPr>
          <w:rFonts w:ascii="Bookman Old Style" w:hAnsi="Bookman Old Style"/>
          <w:b/>
          <w:sz w:val="24"/>
          <w:szCs w:val="24"/>
        </w:rPr>
        <w:t xml:space="preserve">All income and expenditure is audited both internally and externally. </w:t>
      </w:r>
      <w:r w:rsidRPr="002B3559">
        <w:rPr>
          <w:rFonts w:ascii="Bookman Old Style" w:hAnsi="Bookman Old Style"/>
          <w:sz w:val="24"/>
          <w:szCs w:val="24"/>
        </w:rPr>
        <w:t xml:space="preserve">All financial transactions with the Government and its agencies are through </w:t>
      </w:r>
      <w:r w:rsidRPr="000F02FC">
        <w:rPr>
          <w:rFonts w:ascii="Bookman Old Style" w:hAnsi="Bookman Old Style"/>
          <w:b/>
          <w:sz w:val="24"/>
          <w:szCs w:val="24"/>
        </w:rPr>
        <w:t>Public Fund Management System</w:t>
      </w:r>
      <w:r w:rsidRPr="002B3559">
        <w:rPr>
          <w:rFonts w:ascii="Bookman Old Style" w:hAnsi="Bookman Old Style"/>
          <w:sz w:val="24"/>
          <w:szCs w:val="24"/>
        </w:rPr>
        <w:t xml:space="preserve"> (PFMS).</w:t>
      </w:r>
    </w:p>
    <w:p w:rsidR="0032203D" w:rsidRPr="002B3559" w:rsidRDefault="0032203D" w:rsidP="0032203D">
      <w:pPr>
        <w:tabs>
          <w:tab w:val="left" w:pos="567"/>
        </w:tabs>
        <w:spacing w:before="240" w:after="240" w:line="360" w:lineRule="auto"/>
        <w:ind w:right="423"/>
        <w:jc w:val="both"/>
        <w:rPr>
          <w:rFonts w:ascii="Bookman Old Style" w:hAnsi="Bookman Old Style"/>
          <w:b/>
          <w:sz w:val="24"/>
          <w:szCs w:val="24"/>
        </w:rPr>
      </w:pPr>
      <w:r w:rsidRPr="002B3559">
        <w:rPr>
          <w:rFonts w:ascii="Bookman Old Style" w:hAnsi="Bookman Old Style"/>
          <w:b/>
          <w:sz w:val="24"/>
          <w:szCs w:val="24"/>
        </w:rPr>
        <w:t>Internal Audit</w:t>
      </w:r>
    </w:p>
    <w:p w:rsidR="0032203D" w:rsidRDefault="0032203D" w:rsidP="0032203D">
      <w:pPr>
        <w:tabs>
          <w:tab w:val="left" w:pos="567"/>
        </w:tabs>
        <w:spacing w:before="240" w:after="240" w:line="360" w:lineRule="auto"/>
        <w:ind w:right="423"/>
        <w:jc w:val="both"/>
        <w:rPr>
          <w:rFonts w:ascii="Bookman Old Style" w:hAnsi="Bookman Old Style"/>
          <w:sz w:val="24"/>
          <w:szCs w:val="24"/>
        </w:rPr>
      </w:pPr>
      <w:r w:rsidRPr="002B3559">
        <w:rPr>
          <w:rFonts w:ascii="Bookman Old Style" w:hAnsi="Bookman Old Style"/>
          <w:sz w:val="24"/>
          <w:szCs w:val="24"/>
        </w:rPr>
        <w:t>The Office Manager and Principal scrutinize all matters related to receipts and disbursal of funds under various heads of income and expenditure.</w:t>
      </w:r>
    </w:p>
    <w:p w:rsidR="0032203D" w:rsidRPr="002B3559" w:rsidRDefault="0032203D" w:rsidP="0032203D">
      <w:pPr>
        <w:tabs>
          <w:tab w:val="left" w:pos="567"/>
        </w:tabs>
        <w:spacing w:before="240" w:after="240" w:line="360" w:lineRule="auto"/>
        <w:ind w:right="423"/>
        <w:jc w:val="both"/>
        <w:rPr>
          <w:rFonts w:ascii="Bookman Old Style" w:hAnsi="Bookman Old Style"/>
          <w:sz w:val="24"/>
          <w:szCs w:val="24"/>
        </w:rPr>
      </w:pPr>
      <w:r w:rsidRPr="002B3559">
        <w:rPr>
          <w:rFonts w:ascii="Bookman Old Style" w:hAnsi="Bookman Old Style"/>
          <w:sz w:val="24"/>
          <w:szCs w:val="24"/>
        </w:rPr>
        <w:t xml:space="preserve"> All receipts, vouchers, utilization certificates are scrutinized by the Office Manager</w:t>
      </w:r>
      <w:r>
        <w:rPr>
          <w:rFonts w:ascii="Bookman Old Style" w:hAnsi="Bookman Old Style"/>
          <w:sz w:val="24"/>
          <w:szCs w:val="24"/>
        </w:rPr>
        <w:t>s</w:t>
      </w:r>
    </w:p>
    <w:p w:rsidR="0032203D" w:rsidRPr="002B3559" w:rsidRDefault="0032203D" w:rsidP="0032203D">
      <w:pPr>
        <w:pStyle w:val="ListParagraph"/>
        <w:numPr>
          <w:ilvl w:val="0"/>
          <w:numId w:val="1"/>
        </w:numPr>
        <w:tabs>
          <w:tab w:val="left" w:pos="567"/>
        </w:tabs>
        <w:spacing w:before="240" w:after="240" w:line="360" w:lineRule="auto"/>
        <w:ind w:left="0" w:right="423" w:firstLine="0"/>
        <w:contextualSpacing w:val="0"/>
        <w:jc w:val="both"/>
        <w:rPr>
          <w:rFonts w:ascii="Bookman Old Style" w:hAnsi="Bookman Old Style"/>
          <w:sz w:val="24"/>
          <w:szCs w:val="24"/>
        </w:rPr>
      </w:pPr>
      <w:r w:rsidRPr="002B3559">
        <w:rPr>
          <w:rFonts w:ascii="Bookman Old Style" w:hAnsi="Bookman Old Style"/>
          <w:sz w:val="24"/>
          <w:szCs w:val="24"/>
        </w:rPr>
        <w:t xml:space="preserve">The income and expenditure statement </w:t>
      </w:r>
      <w:r>
        <w:rPr>
          <w:rFonts w:ascii="Bookman Old Style" w:hAnsi="Bookman Old Style"/>
          <w:sz w:val="24"/>
          <w:szCs w:val="24"/>
        </w:rPr>
        <w:t xml:space="preserve"> of departments </w:t>
      </w:r>
      <w:r w:rsidRPr="002B3559">
        <w:rPr>
          <w:rFonts w:ascii="Bookman Old Style" w:hAnsi="Bookman Old Style"/>
          <w:sz w:val="24"/>
          <w:szCs w:val="24"/>
        </w:rPr>
        <w:t>is scrutinized by the Office Manager</w:t>
      </w:r>
      <w:r>
        <w:rPr>
          <w:rFonts w:ascii="Bookman Old Style" w:hAnsi="Bookman Old Style"/>
          <w:sz w:val="24"/>
          <w:szCs w:val="24"/>
        </w:rPr>
        <w:t>s</w:t>
      </w:r>
      <w:r w:rsidRPr="002B3559">
        <w:rPr>
          <w:rFonts w:ascii="Bookman Old Style" w:hAnsi="Bookman Old Style"/>
          <w:sz w:val="24"/>
          <w:szCs w:val="24"/>
        </w:rPr>
        <w:t xml:space="preserve">. </w:t>
      </w:r>
    </w:p>
    <w:p w:rsidR="0032203D" w:rsidRPr="002B3559" w:rsidRDefault="0032203D" w:rsidP="0032203D">
      <w:pPr>
        <w:tabs>
          <w:tab w:val="left" w:pos="567"/>
        </w:tabs>
        <w:spacing w:before="240" w:after="240" w:line="360" w:lineRule="auto"/>
        <w:ind w:right="423"/>
        <w:jc w:val="both"/>
        <w:rPr>
          <w:rFonts w:ascii="Bookman Old Style" w:hAnsi="Bookman Old Style"/>
          <w:b/>
          <w:sz w:val="24"/>
          <w:szCs w:val="24"/>
        </w:rPr>
      </w:pPr>
      <w:r w:rsidRPr="002B3559">
        <w:rPr>
          <w:rFonts w:ascii="Bookman Old Style" w:hAnsi="Bookman Old Style"/>
          <w:b/>
          <w:sz w:val="24"/>
          <w:szCs w:val="24"/>
        </w:rPr>
        <w:t>External Audit</w:t>
      </w:r>
    </w:p>
    <w:p w:rsidR="0032203D" w:rsidRDefault="0032203D" w:rsidP="0032203D">
      <w:pPr>
        <w:pStyle w:val="ListParagraph"/>
        <w:numPr>
          <w:ilvl w:val="0"/>
          <w:numId w:val="1"/>
        </w:numPr>
        <w:tabs>
          <w:tab w:val="left" w:pos="567"/>
        </w:tabs>
        <w:spacing w:before="240" w:after="240" w:line="360" w:lineRule="auto"/>
        <w:ind w:left="0" w:right="423" w:firstLine="0"/>
        <w:contextualSpacing w:val="0"/>
        <w:jc w:val="both"/>
        <w:rPr>
          <w:rFonts w:ascii="Bookman Old Style" w:hAnsi="Bookman Old Style"/>
          <w:sz w:val="24"/>
          <w:szCs w:val="24"/>
        </w:rPr>
      </w:pPr>
      <w:r w:rsidRPr="002B3559">
        <w:rPr>
          <w:rFonts w:ascii="Bookman Old Style" w:hAnsi="Bookman Old Style"/>
          <w:sz w:val="24"/>
          <w:szCs w:val="24"/>
        </w:rPr>
        <w:t xml:space="preserve">The external audit is conducted by the </w:t>
      </w:r>
      <w:r w:rsidRPr="002B3559">
        <w:rPr>
          <w:rFonts w:ascii="Bookman Old Style" w:hAnsi="Bookman Old Style"/>
          <w:b/>
          <w:sz w:val="24"/>
          <w:szCs w:val="24"/>
        </w:rPr>
        <w:t>RJDCE,</w:t>
      </w:r>
      <w:r w:rsidRPr="002B3559">
        <w:rPr>
          <w:rFonts w:ascii="Bookman Old Style" w:hAnsi="Bookman Old Style"/>
          <w:sz w:val="24"/>
          <w:szCs w:val="24"/>
        </w:rPr>
        <w:t xml:space="preserve"> Madurai Region for the funds received from the government sources.  The financial statements are submitted </w:t>
      </w:r>
      <w:r>
        <w:rPr>
          <w:rFonts w:ascii="Bookman Old Style" w:hAnsi="Bookman Old Style"/>
          <w:sz w:val="24"/>
          <w:szCs w:val="24"/>
        </w:rPr>
        <w:t xml:space="preserve">to </w:t>
      </w:r>
      <w:r w:rsidRPr="002B3559">
        <w:rPr>
          <w:rFonts w:ascii="Bookman Old Style" w:hAnsi="Bookman Old Style"/>
          <w:sz w:val="24"/>
          <w:szCs w:val="24"/>
        </w:rPr>
        <w:t>the RJDCE</w:t>
      </w:r>
      <w:r>
        <w:rPr>
          <w:rFonts w:ascii="Bookman Old Style" w:hAnsi="Bookman Old Style"/>
          <w:sz w:val="24"/>
          <w:szCs w:val="24"/>
        </w:rPr>
        <w:t>’s office</w:t>
      </w:r>
      <w:r w:rsidRPr="002B3559">
        <w:rPr>
          <w:rFonts w:ascii="Bookman Old Style" w:hAnsi="Bookman Old Style"/>
          <w:sz w:val="24"/>
          <w:szCs w:val="24"/>
        </w:rPr>
        <w:t xml:space="preserve">, Madurai region. </w:t>
      </w:r>
    </w:p>
    <w:p w:rsidR="0032203D" w:rsidRPr="00152062" w:rsidRDefault="0032203D" w:rsidP="00152062">
      <w:pPr>
        <w:pStyle w:val="ListParagraph"/>
        <w:numPr>
          <w:ilvl w:val="0"/>
          <w:numId w:val="1"/>
        </w:numPr>
        <w:tabs>
          <w:tab w:val="left" w:pos="567"/>
        </w:tabs>
        <w:spacing w:before="240" w:after="240" w:line="360" w:lineRule="auto"/>
        <w:ind w:left="0" w:right="423" w:firstLine="0"/>
        <w:contextualSpacing w:val="0"/>
        <w:jc w:val="both"/>
        <w:rPr>
          <w:rFonts w:ascii="Bookman Old Style" w:hAnsi="Bookman Old Style"/>
          <w:sz w:val="24"/>
          <w:szCs w:val="24"/>
        </w:rPr>
      </w:pPr>
      <w:r w:rsidRPr="00152062">
        <w:rPr>
          <w:rFonts w:ascii="Bookman Old Style" w:hAnsi="Bookman Old Style"/>
          <w:sz w:val="24"/>
          <w:szCs w:val="24"/>
        </w:rPr>
        <w:t xml:space="preserve">All the UGC accounts are audited by an external Chartered Accountant and the statement of accounts and utilization certificate are submitted to the respective funding agencies. The accounts have been audited till </w:t>
      </w:r>
      <w:r w:rsidR="00152062" w:rsidRPr="00152062">
        <w:rPr>
          <w:rFonts w:ascii="Bookman Old Style" w:hAnsi="Bookman Old Style"/>
          <w:sz w:val="24"/>
          <w:szCs w:val="24"/>
        </w:rPr>
        <w:t>31.03.2021</w:t>
      </w:r>
      <w:r w:rsidRPr="00152062">
        <w:rPr>
          <w:rFonts w:ascii="Bookman Old Style" w:hAnsi="Bookman Old Style"/>
          <w:sz w:val="24"/>
          <w:szCs w:val="24"/>
        </w:rPr>
        <w:t xml:space="preserve">. </w:t>
      </w:r>
    </w:p>
    <w:p w:rsidR="0032203D" w:rsidRPr="002B3559" w:rsidRDefault="0032203D" w:rsidP="0032203D">
      <w:pPr>
        <w:pStyle w:val="ListParagraph"/>
        <w:numPr>
          <w:ilvl w:val="0"/>
          <w:numId w:val="1"/>
        </w:numPr>
        <w:tabs>
          <w:tab w:val="left" w:pos="567"/>
        </w:tabs>
        <w:spacing w:before="240" w:after="240" w:line="360" w:lineRule="auto"/>
        <w:ind w:left="0" w:right="423" w:firstLine="0"/>
        <w:contextualSpacing w:val="0"/>
        <w:jc w:val="both"/>
        <w:rPr>
          <w:rFonts w:ascii="Bookman Old Style" w:hAnsi="Bookman Old Style"/>
          <w:sz w:val="24"/>
          <w:szCs w:val="24"/>
        </w:rPr>
      </w:pPr>
      <w:r>
        <w:rPr>
          <w:rFonts w:ascii="Bookman Old Style" w:hAnsi="Bookman Old Style"/>
          <w:sz w:val="24"/>
          <w:szCs w:val="24"/>
        </w:rPr>
        <w:lastRenderedPageBreak/>
        <w:t>Queries on audit are promptly attended to and settled.</w:t>
      </w:r>
    </w:p>
    <w:p w:rsidR="0032203D" w:rsidRPr="0032203D" w:rsidRDefault="0032203D" w:rsidP="0032203D">
      <w:pPr>
        <w:pStyle w:val="ListParagraph"/>
        <w:numPr>
          <w:ilvl w:val="0"/>
          <w:numId w:val="1"/>
        </w:numPr>
        <w:tabs>
          <w:tab w:val="left" w:pos="567"/>
        </w:tabs>
        <w:spacing w:before="240" w:after="240" w:line="360" w:lineRule="auto"/>
        <w:ind w:left="0" w:right="423" w:firstLine="0"/>
        <w:contextualSpacing w:val="0"/>
        <w:jc w:val="both"/>
        <w:rPr>
          <w:rFonts w:ascii="Bookman Old Style" w:hAnsi="Bookman Old Style"/>
          <w:sz w:val="24"/>
          <w:szCs w:val="24"/>
        </w:rPr>
      </w:pPr>
      <w:r w:rsidRPr="002B3559">
        <w:rPr>
          <w:rFonts w:ascii="Bookman Old Style" w:hAnsi="Bookman Old Style"/>
          <w:b/>
          <w:sz w:val="24"/>
          <w:szCs w:val="24"/>
        </w:rPr>
        <w:t xml:space="preserve">As all financial dealings are transparent with a high degree of integrity and accountability, the college has always been commended by the RJDCE. </w:t>
      </w:r>
    </w:p>
    <w:p w:rsidR="00152062" w:rsidRDefault="00152062" w:rsidP="0032203D">
      <w:pPr>
        <w:tabs>
          <w:tab w:val="left" w:pos="567"/>
        </w:tabs>
        <w:rPr>
          <w:rFonts w:ascii="Bookman Old Style" w:eastAsia="Calibri" w:hAnsi="Bookman Old Style" w:cs="Times New Roman"/>
          <w:sz w:val="24"/>
          <w:szCs w:val="24"/>
          <w:lang w:val="en-US" w:eastAsia="en-US"/>
        </w:rPr>
      </w:pPr>
    </w:p>
    <w:p w:rsidR="00EF30D4" w:rsidRPr="0032203D" w:rsidRDefault="0032203D" w:rsidP="0032203D">
      <w:pPr>
        <w:tabs>
          <w:tab w:val="left" w:pos="567"/>
        </w:tabs>
        <w:rPr>
          <w:rFonts w:ascii="Bookman Old Style" w:eastAsia="Calibri" w:hAnsi="Bookman Old Style" w:cs="Times New Roman"/>
          <w:sz w:val="24"/>
          <w:szCs w:val="24"/>
          <w:lang w:val="en-US" w:eastAsia="en-US"/>
        </w:rPr>
      </w:pPr>
      <w:r w:rsidRPr="0032203D">
        <w:rPr>
          <w:rFonts w:ascii="Bookman Old Style" w:eastAsia="Calibri" w:hAnsi="Bookman Old Style" w:cs="Times New Roman"/>
          <w:sz w:val="24"/>
          <w:szCs w:val="24"/>
          <w:lang w:val="en-US" w:eastAsia="en-US"/>
        </w:rPr>
        <w:t>No. of Words: 192</w:t>
      </w: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p w:rsidR="00EF30D4" w:rsidRDefault="00EF30D4" w:rsidP="0032203D">
      <w:pPr>
        <w:tabs>
          <w:tab w:val="left" w:pos="567"/>
        </w:tabs>
        <w:jc w:val="center"/>
      </w:pPr>
    </w:p>
    <w:sectPr w:rsidR="00EF30D4" w:rsidSect="008C54D6">
      <w:headerReference w:type="default" r:id="rId7"/>
      <w:footerReference w:type="default" r:id="rId8"/>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168" w:rsidRDefault="00271168" w:rsidP="00EF30D4">
      <w:pPr>
        <w:spacing w:after="0" w:line="240" w:lineRule="auto"/>
      </w:pPr>
      <w:r>
        <w:separator/>
      </w:r>
    </w:p>
  </w:endnote>
  <w:endnote w:type="continuationSeparator" w:id="0">
    <w:p w:rsidR="00271168" w:rsidRDefault="00271168" w:rsidP="00EF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maranth">
    <w:panose1 w:val="00000000000000000000"/>
    <w:charset w:val="00"/>
    <w:family w:val="modern"/>
    <w:notTrueType/>
    <w:pitch w:val="variable"/>
    <w:sig w:usb0="A0000027" w:usb1="00000043"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Default="00EF30D4">
    <w:pPr>
      <w:pStyle w:val="Footer"/>
      <w:pBdr>
        <w:top w:val="thinThickSmallGap" w:sz="24" w:space="1" w:color="823B0B" w:themeColor="accent2" w:themeShade="7F"/>
      </w:pBdr>
      <w:rPr>
        <w:rFonts w:asciiTheme="majorHAnsi" w:hAnsiTheme="majorHAnsi"/>
      </w:rPr>
    </w:pPr>
    <w:r w:rsidRPr="00EF30D4">
      <w:rPr>
        <w:rFonts w:ascii="Calibri" w:hAnsi="Calibri" w:cs="Calibri"/>
        <w:b/>
        <w:bCs/>
        <w:iCs/>
        <w:color w:val="0D0D0D"/>
        <w:sz w:val="20"/>
        <w:szCs w:val="20"/>
      </w:rPr>
      <w:t>Annual Quality Assurance Report (</w:t>
    </w:r>
    <w:r w:rsidRPr="00EF30D4">
      <w:rPr>
        <w:rFonts w:ascii="Calibri" w:hAnsi="Calibri" w:cs="Calibri"/>
        <w:b/>
        <w:color w:val="0D0D0D"/>
        <w:sz w:val="20"/>
        <w:szCs w:val="20"/>
      </w:rPr>
      <w:t>AQAR</w:t>
    </w:r>
    <w:r w:rsidRPr="00EF30D4">
      <w:rPr>
        <w:rFonts w:ascii="Calibri" w:hAnsi="Calibri" w:cs="Calibri"/>
        <w:b/>
        <w:bCs/>
        <w:iCs/>
        <w:color w:val="0D0D0D"/>
        <w:sz w:val="20"/>
        <w:szCs w:val="20"/>
      </w:rPr>
      <w:t>) (2020 – 2021)</w:t>
    </w:r>
    <w:r>
      <w:rPr>
        <w:rFonts w:asciiTheme="majorHAnsi" w:hAnsiTheme="majorHAnsi"/>
      </w:rPr>
      <w:ptab w:relativeTo="margin" w:alignment="right" w:leader="none"/>
    </w:r>
  </w:p>
  <w:p w:rsidR="00EF30D4" w:rsidRPr="00EF30D4" w:rsidRDefault="00EF30D4" w:rsidP="00EF30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168" w:rsidRDefault="00271168" w:rsidP="00EF30D4">
      <w:pPr>
        <w:spacing w:after="0" w:line="240" w:lineRule="auto"/>
      </w:pPr>
      <w:r>
        <w:separator/>
      </w:r>
    </w:p>
  </w:footnote>
  <w:footnote w:type="continuationSeparator" w:id="0">
    <w:p w:rsidR="00271168" w:rsidRDefault="00271168" w:rsidP="00EF3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Pr="00BC1E61" w:rsidRDefault="00EF30D4" w:rsidP="00EF30D4">
    <w:pPr>
      <w:spacing w:after="0" w:line="240" w:lineRule="auto"/>
      <w:ind w:right="-46"/>
      <w:jc w:val="center"/>
      <w:rPr>
        <w:rFonts w:ascii="Calibri" w:hAnsi="Calibri" w:cs="Calibri"/>
        <w:b/>
        <w:bCs/>
        <w:i/>
        <w:iCs/>
        <w:color w:val="C00000"/>
        <w:sz w:val="20"/>
      </w:rPr>
    </w:pPr>
    <w:r>
      <w:rPr>
        <w:rFonts w:ascii="Amaranth" w:hAnsi="Amaranth"/>
        <w:b/>
        <w:noProof/>
        <w:color w:val="003399"/>
        <w:sz w:val="32"/>
        <w:u w:val="single"/>
      </w:rPr>
      <w:drawing>
        <wp:anchor distT="0" distB="0" distL="114300" distR="114300" simplePos="0" relativeHeight="251660288" behindDoc="0" locked="0" layoutInCell="1" allowOverlap="1">
          <wp:simplePos x="0" y="0"/>
          <wp:positionH relativeFrom="margin">
            <wp:posOffset>-57150</wp:posOffset>
          </wp:positionH>
          <wp:positionV relativeFrom="paragraph">
            <wp:posOffset>26035</wp:posOffset>
          </wp:positionV>
          <wp:extent cx="968375" cy="962025"/>
          <wp:effectExtent l="19050" t="0" r="3175"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8375" cy="962025"/>
                  </a:xfrm>
                  <a:prstGeom prst="rect">
                    <a:avLst/>
                  </a:prstGeom>
                  <a:noFill/>
                  <a:ln>
                    <a:noFill/>
                  </a:ln>
                </pic:spPr>
              </pic:pic>
            </a:graphicData>
          </a:graphic>
        </wp:anchor>
      </w:drawing>
    </w:r>
    <w:r w:rsidRPr="00393F99">
      <w:rPr>
        <w:rFonts w:ascii="Amaranth" w:hAnsi="Amaranth"/>
        <w:b/>
        <w:noProof/>
        <w:color w:val="003399"/>
        <w:sz w:val="32"/>
        <w:u w:val="single"/>
      </w:rPr>
      <w:drawing>
        <wp:anchor distT="0" distB="0" distL="114300" distR="114300" simplePos="0" relativeHeight="251662336" behindDoc="1" locked="0" layoutInCell="1" allowOverlap="1">
          <wp:simplePos x="0" y="0"/>
          <wp:positionH relativeFrom="column">
            <wp:posOffset>4765040</wp:posOffset>
          </wp:positionH>
          <wp:positionV relativeFrom="paragraph">
            <wp:posOffset>-87630</wp:posOffset>
          </wp:positionV>
          <wp:extent cx="1502410" cy="1172845"/>
          <wp:effectExtent l="19050" t="0" r="2540" b="0"/>
          <wp:wrapTight wrapText="bothSides">
            <wp:wrapPolygon edited="0">
              <wp:start x="-274" y="0"/>
              <wp:lineTo x="-274" y="21401"/>
              <wp:lineTo x="21637" y="21401"/>
              <wp:lineTo x="21637" y="0"/>
              <wp:lineTo x="-274" y="0"/>
            </wp:wrapPolygon>
          </wp:wrapTight>
          <wp:docPr id="5" name="Picture 1" descr="C:\Users\NAAC\Desktop\Final Fatima College IQ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C\Desktop\Final Fatima College IQAC Logo.jpg"/>
                  <pic:cNvPicPr>
                    <a:picLocks noChangeAspect="1" noChangeArrowheads="1"/>
                  </pic:cNvPicPr>
                </pic:nvPicPr>
                <pic:blipFill>
                  <a:blip r:embed="rId2"/>
                  <a:srcRect/>
                  <a:stretch>
                    <a:fillRect/>
                  </a:stretch>
                </pic:blipFill>
                <pic:spPr bwMode="auto">
                  <a:xfrm>
                    <a:off x="0" y="0"/>
                    <a:ext cx="1502410" cy="1172845"/>
                  </a:xfrm>
                  <a:prstGeom prst="rect">
                    <a:avLst/>
                  </a:prstGeom>
                  <a:noFill/>
                  <a:ln w="9525">
                    <a:noFill/>
                    <a:miter lim="800000"/>
                    <a:headEnd/>
                    <a:tailEnd/>
                  </a:ln>
                </pic:spPr>
              </pic:pic>
            </a:graphicData>
          </a:graphic>
        </wp:anchor>
      </w:drawing>
    </w:r>
    <w:r w:rsidRPr="00393F99">
      <w:rPr>
        <w:rFonts w:ascii="Amaranth" w:hAnsi="Amaranth"/>
        <w:b/>
        <w:color w:val="003399"/>
        <w:sz w:val="38"/>
      </w:rPr>
      <w:t xml:space="preserve">Fatima College </w:t>
    </w:r>
    <w:r>
      <w:rPr>
        <w:rFonts w:ascii="Amaranth" w:hAnsi="Amaranth"/>
        <w:b/>
        <w:color w:val="003399"/>
        <w:sz w:val="38"/>
      </w:rPr>
      <w:br/>
    </w:r>
    <w:r w:rsidRPr="0052294F">
      <w:rPr>
        <w:rFonts w:ascii="Amaranth" w:hAnsi="Amaranth"/>
        <w:b/>
        <w:color w:val="003399"/>
        <w:sz w:val="20"/>
        <w:szCs w:val="20"/>
      </w:rPr>
      <w:t>(Autonomous)</w:t>
    </w:r>
    <w:r w:rsidRPr="00393F99">
      <w:rPr>
        <w:rFonts w:ascii="Amaranth" w:hAnsi="Amaranth"/>
        <w:b/>
        <w:color w:val="002060"/>
        <w:sz w:val="28"/>
      </w:rPr>
      <w:br/>
    </w:r>
    <w:r w:rsidRPr="00BC1E61">
      <w:rPr>
        <w:rFonts w:ascii="Calibri" w:hAnsi="Calibri" w:cs="Calibri"/>
        <w:b/>
        <w:bCs/>
        <w:i/>
        <w:iCs/>
        <w:color w:val="C00000"/>
        <w:sz w:val="20"/>
      </w:rPr>
      <w:t xml:space="preserve">Re-Accredited with </w:t>
    </w:r>
    <w:r>
      <w:rPr>
        <w:rFonts w:ascii="Calibri" w:hAnsi="Calibri" w:cs="Calibri"/>
        <w:b/>
        <w:bCs/>
        <w:i/>
        <w:iCs/>
        <w:color w:val="C00000"/>
        <w:sz w:val="20"/>
      </w:rPr>
      <w:t>‘</w:t>
    </w:r>
    <w:r w:rsidRPr="00BC1E61">
      <w:rPr>
        <w:rFonts w:ascii="Calibri" w:hAnsi="Calibri" w:cs="Calibri"/>
        <w:b/>
        <w:bCs/>
        <w:i/>
        <w:iCs/>
        <w:color w:val="C00000"/>
        <w:sz w:val="20"/>
      </w:rPr>
      <w:t>A++</w:t>
    </w:r>
    <w:r>
      <w:rPr>
        <w:rFonts w:ascii="Calibri" w:hAnsi="Calibri" w:cs="Calibri"/>
        <w:b/>
        <w:bCs/>
        <w:i/>
        <w:iCs/>
        <w:color w:val="C00000"/>
        <w:sz w:val="20"/>
      </w:rPr>
      <w:t>’</w:t>
    </w:r>
    <w:r w:rsidRPr="00BC1E61">
      <w:rPr>
        <w:rFonts w:ascii="Calibri" w:hAnsi="Calibri" w:cs="Calibri"/>
        <w:b/>
        <w:bCs/>
        <w:i/>
        <w:iCs/>
        <w:color w:val="C00000"/>
        <w:sz w:val="20"/>
      </w:rPr>
      <w:t xml:space="preserve"> </w:t>
    </w:r>
    <w:r>
      <w:rPr>
        <w:rFonts w:ascii="Calibri" w:hAnsi="Calibri" w:cs="Calibri"/>
        <w:b/>
        <w:bCs/>
        <w:i/>
        <w:iCs/>
        <w:color w:val="C00000"/>
        <w:sz w:val="20"/>
      </w:rPr>
      <w:t>(</w:t>
    </w:r>
    <w:r w:rsidRPr="00BC1E61">
      <w:rPr>
        <w:rFonts w:ascii="Calibri" w:hAnsi="Calibri" w:cs="Calibri"/>
        <w:b/>
        <w:bCs/>
        <w:i/>
        <w:iCs/>
        <w:color w:val="C00000"/>
        <w:sz w:val="20"/>
      </w:rPr>
      <w:t>CGPA 3.61</w:t>
    </w:r>
    <w:r>
      <w:rPr>
        <w:rFonts w:ascii="Calibri" w:hAnsi="Calibri" w:cs="Calibri"/>
        <w:b/>
        <w:bCs/>
        <w:i/>
        <w:iCs/>
        <w:color w:val="C00000"/>
        <w:sz w:val="20"/>
      </w:rPr>
      <w:t xml:space="preserve">) </w:t>
    </w:r>
    <w:r w:rsidRPr="00BC1E61">
      <w:rPr>
        <w:rFonts w:ascii="Calibri" w:hAnsi="Calibri" w:cs="Calibri"/>
        <w:b/>
        <w:bCs/>
        <w:i/>
        <w:iCs/>
        <w:color w:val="C00000"/>
        <w:sz w:val="20"/>
      </w:rPr>
      <w:t>by NAAC (Cycle</w:t>
    </w:r>
    <w:r>
      <w:rPr>
        <w:rFonts w:ascii="Calibri" w:hAnsi="Calibri" w:cs="Calibri"/>
        <w:b/>
        <w:bCs/>
        <w:i/>
        <w:iCs/>
        <w:color w:val="C00000"/>
        <w:sz w:val="20"/>
      </w:rPr>
      <w:t>- IV</w:t>
    </w:r>
    <w:r w:rsidRPr="00BC1E61">
      <w:rPr>
        <w:rFonts w:ascii="Calibri" w:hAnsi="Calibri" w:cs="Calibri"/>
        <w:b/>
        <w:bCs/>
        <w:i/>
        <w:iCs/>
        <w:color w:val="C00000"/>
        <w:sz w:val="20"/>
      </w:rPr>
      <w:t xml:space="preserve">) </w:t>
    </w:r>
    <w:r w:rsidRPr="00BC1E61">
      <w:rPr>
        <w:rFonts w:ascii="Calibri" w:hAnsi="Calibri" w:cs="Calibri"/>
        <w:b/>
        <w:bCs/>
        <w:i/>
        <w:iCs/>
        <w:color w:val="C00000"/>
        <w:sz w:val="20"/>
      </w:rPr>
      <w:br/>
      <w:t>College with Potential for Excellence (2004 - 2019)</w:t>
    </w:r>
  </w:p>
  <w:p w:rsidR="00EF30D4" w:rsidRPr="00BC1E61" w:rsidRDefault="00EF30D4" w:rsidP="00EF30D4">
    <w:pPr>
      <w:spacing w:after="0" w:line="240" w:lineRule="auto"/>
      <w:ind w:right="-46"/>
      <w:jc w:val="center"/>
      <w:rPr>
        <w:rFonts w:ascii="Calibri" w:hAnsi="Calibri" w:cs="Calibri"/>
        <w:b/>
        <w:bCs/>
        <w:i/>
        <w:iCs/>
        <w:color w:val="C00000"/>
        <w:sz w:val="20"/>
      </w:rPr>
    </w:pPr>
    <w:r>
      <w:rPr>
        <w:rFonts w:ascii="Calibri" w:hAnsi="Calibri" w:cs="Calibri"/>
        <w:b/>
        <w:bCs/>
        <w:i/>
        <w:iCs/>
        <w:color w:val="C00000"/>
        <w:sz w:val="20"/>
      </w:rPr>
      <w:t xml:space="preserve">101 </w:t>
    </w:r>
    <w:r w:rsidR="007678B5">
      <w:rPr>
        <w:rFonts w:ascii="Calibri" w:hAnsi="Calibri" w:cs="Calibri"/>
        <w:b/>
        <w:bCs/>
        <w:i/>
        <w:iCs/>
        <w:color w:val="C00000"/>
        <w:sz w:val="20"/>
      </w:rPr>
      <w:t>-</w:t>
    </w:r>
    <w:r>
      <w:rPr>
        <w:rFonts w:ascii="Calibri" w:hAnsi="Calibri" w:cs="Calibri"/>
        <w:b/>
        <w:bCs/>
        <w:i/>
        <w:iCs/>
        <w:color w:val="C00000"/>
        <w:sz w:val="20"/>
      </w:rPr>
      <w:t xml:space="preserve"> 150 </w:t>
    </w:r>
    <w:r w:rsidRPr="00BC1E61">
      <w:rPr>
        <w:rFonts w:ascii="Calibri" w:hAnsi="Calibri" w:cs="Calibri"/>
        <w:b/>
        <w:bCs/>
        <w:i/>
        <w:iCs/>
        <w:color w:val="C00000"/>
        <w:sz w:val="20"/>
      </w:rPr>
      <w:t>Rank</w:t>
    </w:r>
    <w:r>
      <w:rPr>
        <w:rFonts w:ascii="Calibri" w:hAnsi="Calibri" w:cs="Calibri"/>
        <w:b/>
        <w:bCs/>
        <w:i/>
        <w:iCs/>
        <w:color w:val="C00000"/>
        <w:sz w:val="20"/>
      </w:rPr>
      <w:t xml:space="preserve"> Band</w:t>
    </w:r>
    <w:r w:rsidRPr="00BC1E61">
      <w:rPr>
        <w:rFonts w:ascii="Calibri" w:hAnsi="Calibri" w:cs="Calibri"/>
        <w:b/>
        <w:bCs/>
        <w:i/>
        <w:iCs/>
        <w:color w:val="C00000"/>
        <w:sz w:val="20"/>
      </w:rPr>
      <w:t xml:space="preserve"> in India Ranking 2021 (NIRF)</w:t>
    </w:r>
  </w:p>
  <w:p w:rsidR="00EF30D4" w:rsidRPr="00393F99" w:rsidRDefault="00EF30D4" w:rsidP="00EF30D4">
    <w:pPr>
      <w:spacing w:after="0" w:line="240" w:lineRule="auto"/>
      <w:ind w:right="-46"/>
      <w:jc w:val="center"/>
      <w:rPr>
        <w:rFonts w:ascii="Amaranth" w:hAnsi="Amaranth"/>
        <w:b/>
        <w:color w:val="003399"/>
        <w:sz w:val="36"/>
      </w:rPr>
    </w:pPr>
    <w:r w:rsidRPr="00393F99">
      <w:rPr>
        <w:rFonts w:ascii="Calibri" w:hAnsi="Calibri" w:cs="Calibri"/>
        <w:b/>
        <w:bCs/>
        <w:iCs/>
        <w:color w:val="003399"/>
        <w:sz w:val="20"/>
      </w:rPr>
      <w:t xml:space="preserve">Mary Land, Madurai </w:t>
    </w:r>
    <w:r w:rsidR="007678B5">
      <w:rPr>
        <w:rFonts w:ascii="Calibri" w:hAnsi="Calibri" w:cs="Calibri"/>
        <w:b/>
        <w:bCs/>
        <w:iCs/>
        <w:color w:val="003399"/>
        <w:sz w:val="20"/>
      </w:rPr>
      <w:t>-</w:t>
    </w:r>
    <w:r w:rsidRPr="00393F99">
      <w:rPr>
        <w:rFonts w:ascii="Calibri" w:hAnsi="Calibri" w:cs="Calibri"/>
        <w:b/>
        <w:bCs/>
        <w:iCs/>
        <w:color w:val="003399"/>
        <w:sz w:val="20"/>
      </w:rPr>
      <w:t xml:space="preserve"> 625</w:t>
    </w:r>
    <w:r w:rsidR="007678B5">
      <w:rPr>
        <w:rFonts w:ascii="Calibri" w:hAnsi="Calibri" w:cs="Calibri"/>
        <w:b/>
        <w:bCs/>
        <w:iCs/>
        <w:color w:val="003399"/>
        <w:sz w:val="20"/>
      </w:rPr>
      <w:t xml:space="preserve"> </w:t>
    </w:r>
    <w:r w:rsidRPr="00393F99">
      <w:rPr>
        <w:rFonts w:ascii="Calibri" w:hAnsi="Calibri" w:cs="Calibri"/>
        <w:b/>
        <w:bCs/>
        <w:iCs/>
        <w:color w:val="003399"/>
        <w:sz w:val="20"/>
      </w:rPr>
      <w:t>018, Tamil Nadu</w:t>
    </w:r>
    <w:r w:rsidR="007678B5">
      <w:rPr>
        <w:rFonts w:ascii="Calibri" w:hAnsi="Calibri" w:cs="Calibri"/>
        <w:b/>
        <w:bCs/>
        <w:iCs/>
        <w:color w:val="003399"/>
        <w:sz w:val="20"/>
      </w:rPr>
      <w:t>.</w:t>
    </w:r>
  </w:p>
  <w:p w:rsidR="00EF30D4" w:rsidRPr="00EF30D4" w:rsidRDefault="006C6DC4" w:rsidP="00EF30D4">
    <w:pPr>
      <w:jc w:val="center"/>
    </w:pPr>
    <w:r w:rsidRPr="006C6DC4">
      <w:rPr>
        <w:rFonts w:ascii="Calibri" w:hAnsi="Calibri" w:cs="Calibri"/>
        <w:b/>
        <w:bCs/>
        <w:iCs/>
        <w:noProof/>
        <w:color w:val="003399"/>
      </w:rPr>
      <w:pict>
        <v:shapetype id="_x0000_t32" coordsize="21600,21600" o:spt="32" o:oned="t" path="m,l21600,21600e" filled="f">
          <v:path arrowok="t" fillok="f" o:connecttype="none"/>
          <o:lock v:ext="edit" shapetype="t"/>
        </v:shapetype>
        <v:shape id="_x0000_s1025" type="#_x0000_t32" style="position:absolute;left:0;text-align:left;margin-left:-25.2pt;margin-top:9.15pt;width:517.25pt;height:0;z-index:251658240" o:connectortype="straight" strokeweight=".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2F0D42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8194"/>
    <o:shapelayout v:ext="edit">
      <o:idmap v:ext="edit" data="1"/>
      <o:rules v:ext="edit">
        <o:r id="V:Rule2" type="connector" idref="#_x0000_s1025"/>
      </o:rules>
    </o:shapelayout>
  </w:hdrShapeDefaults>
  <w:footnotePr>
    <w:footnote w:id="-1"/>
    <w:footnote w:id="0"/>
  </w:footnotePr>
  <w:endnotePr>
    <w:endnote w:id="-1"/>
    <w:endnote w:id="0"/>
  </w:endnotePr>
  <w:compat/>
  <w:rsids>
    <w:rsidRoot w:val="00A96F2E"/>
    <w:rsid w:val="00096439"/>
    <w:rsid w:val="00152062"/>
    <w:rsid w:val="00160556"/>
    <w:rsid w:val="00195357"/>
    <w:rsid w:val="0020373C"/>
    <w:rsid w:val="0021077B"/>
    <w:rsid w:val="0021087F"/>
    <w:rsid w:val="00271168"/>
    <w:rsid w:val="0032170A"/>
    <w:rsid w:val="0032203D"/>
    <w:rsid w:val="00393F99"/>
    <w:rsid w:val="0052294F"/>
    <w:rsid w:val="005369B7"/>
    <w:rsid w:val="00573DEB"/>
    <w:rsid w:val="005A7615"/>
    <w:rsid w:val="005F7048"/>
    <w:rsid w:val="006B4C98"/>
    <w:rsid w:val="006C6DC4"/>
    <w:rsid w:val="007678B5"/>
    <w:rsid w:val="007E6D0A"/>
    <w:rsid w:val="008C54D6"/>
    <w:rsid w:val="009876FB"/>
    <w:rsid w:val="009A558E"/>
    <w:rsid w:val="00A21BDE"/>
    <w:rsid w:val="00A96F2E"/>
    <w:rsid w:val="00AD2E9B"/>
    <w:rsid w:val="00BC1E61"/>
    <w:rsid w:val="00C023D2"/>
    <w:rsid w:val="00C229A7"/>
    <w:rsid w:val="00C401A4"/>
    <w:rsid w:val="00C5090D"/>
    <w:rsid w:val="00DF30DE"/>
    <w:rsid w:val="00EA1BE6"/>
    <w:rsid w:val="00EF30D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03D"/>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basedOn w:val="DefaultParagraphFont"/>
    <w:uiPriority w:val="32"/>
    <w:qFormat/>
    <w:rsid w:val="00DF30DE"/>
    <w:rPr>
      <w:b/>
      <w:bCs/>
      <w:smallCaps/>
      <w:color w:val="4472C4" w:themeColor="accent1"/>
      <w:spacing w:val="5"/>
    </w:rPr>
  </w:style>
  <w:style w:type="paragraph" w:styleId="ListParagraph">
    <w:name w:val="List Paragraph"/>
    <w:basedOn w:val="Normal"/>
    <w:uiPriority w:val="34"/>
    <w:qFormat/>
    <w:rsid w:val="0032203D"/>
    <w:pPr>
      <w:ind w:left="720"/>
      <w:contextualSpacing/>
    </w:pPr>
    <w:rPr>
      <w:rFonts w:ascii="Calibri" w:eastAsia="Calibri" w:hAnsi="Calibri" w:cs="Times New Roman"/>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Pages>
  <Words>211</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mary</dc:creator>
  <cp:keywords/>
  <dc:description/>
  <cp:lastModifiedBy>naac</cp:lastModifiedBy>
  <cp:revision>22</cp:revision>
  <cp:lastPrinted>2021-11-29T08:57:00Z</cp:lastPrinted>
  <dcterms:created xsi:type="dcterms:W3CDTF">2021-11-29T06:47:00Z</dcterms:created>
  <dcterms:modified xsi:type="dcterms:W3CDTF">2022-03-11T09:17:00Z</dcterms:modified>
</cp:coreProperties>
</file>